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5ACB" w:rsidRDefault="007164C2" w:rsidP="007164C2">
      <w:pPr>
        <w:widowControl/>
        <w:spacing w:line="400" w:lineRule="exact"/>
        <w:jc w:val="center"/>
        <w:rPr>
          <w:rFonts w:ascii="標楷體" w:eastAsia="標楷體" w:hAnsi="標楷體"/>
          <w:b/>
          <w:sz w:val="36"/>
          <w:szCs w:val="36"/>
          <w:lang w:eastAsia="zh-TW"/>
        </w:rPr>
      </w:pP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APEC</w:t>
      </w:r>
      <w:r w:rsidR="00921310" w:rsidRPr="00573450">
        <w:rPr>
          <w:rFonts w:ascii="標楷體" w:eastAsia="標楷體" w:hAnsi="標楷體" w:hint="eastAsia"/>
          <w:b/>
          <w:sz w:val="36"/>
          <w:szCs w:val="36"/>
          <w:lang w:eastAsia="zh-TW"/>
        </w:rPr>
        <w:t xml:space="preserve"> </w:t>
      </w:r>
      <w:r w:rsidR="00A55ACB" w:rsidRPr="00573450">
        <w:rPr>
          <w:rFonts w:ascii="標楷體" w:eastAsia="標楷體" w:hAnsi="標楷體" w:hint="eastAsia"/>
          <w:b/>
          <w:sz w:val="36"/>
          <w:szCs w:val="36"/>
          <w:lang w:eastAsia="zh-TW"/>
        </w:rPr>
        <w:t>25週年</w:t>
      </w:r>
      <w:r w:rsidR="00921310">
        <w:rPr>
          <w:rFonts w:ascii="標楷體" w:eastAsia="標楷體" w:hAnsi="標楷體" w:hint="eastAsia"/>
          <w:b/>
          <w:sz w:val="36"/>
          <w:szCs w:val="36"/>
          <w:lang w:eastAsia="zh-TW"/>
        </w:rPr>
        <w:t>宣言</w:t>
      </w:r>
      <w:bookmarkStart w:id="0" w:name="_GoBack"/>
      <w:bookmarkEnd w:id="0"/>
    </w:p>
    <w:p w:rsidR="00573450" w:rsidRPr="00573450" w:rsidRDefault="00573450" w:rsidP="007164C2">
      <w:pPr>
        <w:widowControl/>
        <w:spacing w:line="400" w:lineRule="exact"/>
        <w:jc w:val="center"/>
        <w:rPr>
          <w:rStyle w:val="af"/>
          <w:rFonts w:ascii="標楷體" w:eastAsia="標楷體" w:hAnsi="標楷體"/>
          <w:b w:val="0"/>
          <w:sz w:val="36"/>
          <w:szCs w:val="36"/>
          <w:lang w:eastAsia="zh-TW"/>
        </w:rPr>
      </w:pPr>
    </w:p>
    <w:p w:rsidR="00A55ACB" w:rsidRPr="00573450" w:rsidRDefault="00BD4B01" w:rsidP="007164C2">
      <w:pPr>
        <w:widowControl/>
        <w:spacing w:line="400" w:lineRule="exact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r w:rsidRPr="00573450">
        <w:rPr>
          <w:rFonts w:ascii="標楷體" w:eastAsia="標楷體" w:hAnsi="標楷體" w:hint="eastAsia"/>
          <w:b/>
          <w:sz w:val="40"/>
          <w:szCs w:val="40"/>
          <w:lang w:eastAsia="zh-TW"/>
        </w:rPr>
        <w:t>攜手亞太</w:t>
      </w:r>
      <w:r w:rsidR="00573450" w:rsidRPr="00573450">
        <w:rPr>
          <w:rFonts w:ascii="新細明體" w:eastAsia="新細明體" w:hAnsi="新細明體" w:hint="eastAsia"/>
          <w:b/>
          <w:sz w:val="40"/>
          <w:szCs w:val="40"/>
          <w:lang w:eastAsia="zh-TW"/>
        </w:rPr>
        <w:t>，</w:t>
      </w:r>
      <w:r w:rsidRPr="00573450">
        <w:rPr>
          <w:rFonts w:ascii="標楷體" w:eastAsia="標楷體" w:hAnsi="標楷體" w:hint="eastAsia"/>
          <w:b/>
          <w:sz w:val="40"/>
          <w:szCs w:val="40"/>
          <w:lang w:eastAsia="zh-TW"/>
        </w:rPr>
        <w:t>共創未來</w:t>
      </w:r>
    </w:p>
    <w:p w:rsidR="00573450" w:rsidRDefault="00573450" w:rsidP="007164C2">
      <w:pPr>
        <w:widowControl/>
        <w:spacing w:line="400" w:lineRule="exact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A55ACB" w:rsidRPr="00573450" w:rsidRDefault="00A55ACB" w:rsidP="007164C2">
      <w:pPr>
        <w:widowControl/>
        <w:spacing w:line="400" w:lineRule="exact"/>
        <w:jc w:val="center"/>
        <w:rPr>
          <w:rFonts w:ascii="標楷體" w:eastAsia="標楷體" w:hAnsi="標楷體"/>
          <w:b/>
          <w:sz w:val="28"/>
          <w:szCs w:val="28"/>
          <w:lang w:eastAsia="zh-TW"/>
        </w:rPr>
      </w:pPr>
      <w:r w:rsidRPr="00573450">
        <w:rPr>
          <w:rFonts w:ascii="標楷體" w:eastAsia="標楷體" w:hAnsi="標楷體" w:hint="eastAsia"/>
          <w:b/>
          <w:sz w:val="28"/>
          <w:szCs w:val="28"/>
          <w:lang w:eastAsia="zh-TW"/>
        </w:rPr>
        <w:t>中國</w:t>
      </w:r>
      <w:r w:rsidR="00745FC4" w:rsidRPr="00573450">
        <w:rPr>
          <w:rFonts w:ascii="標楷體" w:eastAsia="標楷體" w:hAnsi="標楷體" w:hint="eastAsia"/>
          <w:b/>
          <w:sz w:val="28"/>
          <w:szCs w:val="28"/>
          <w:lang w:eastAsia="zh-TW"/>
        </w:rPr>
        <w:t>大陸</w:t>
      </w:r>
      <w:r w:rsidRPr="00573450">
        <w:rPr>
          <w:rFonts w:ascii="標楷體" w:eastAsia="標楷體" w:hAnsi="標楷體" w:hint="eastAsia"/>
          <w:b/>
          <w:sz w:val="28"/>
          <w:szCs w:val="28"/>
          <w:lang w:eastAsia="zh-TW"/>
        </w:rPr>
        <w:t>北京</w:t>
      </w:r>
    </w:p>
    <w:p w:rsidR="00A55ACB" w:rsidRPr="00573450" w:rsidRDefault="00503055" w:rsidP="007164C2">
      <w:pPr>
        <w:widowControl/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573450">
        <w:rPr>
          <w:rFonts w:ascii="標楷體" w:eastAsia="標楷體" w:hAnsi="標楷體" w:hint="eastAsia"/>
          <w:b/>
          <w:sz w:val="28"/>
          <w:szCs w:val="28"/>
          <w:lang w:eastAsia="zh-TW"/>
        </w:rPr>
        <w:t>2014</w:t>
      </w:r>
      <w:r w:rsidR="00A55ACB" w:rsidRPr="00573450">
        <w:rPr>
          <w:rFonts w:ascii="標楷體" w:eastAsia="標楷體" w:hAnsi="標楷體" w:hint="eastAsia"/>
          <w:b/>
          <w:sz w:val="28"/>
          <w:szCs w:val="28"/>
          <w:lang w:eastAsia="zh-TW"/>
        </w:rPr>
        <w:t>年11月</w:t>
      </w:r>
      <w:r w:rsidR="00A55ACB" w:rsidRPr="00573450">
        <w:rPr>
          <w:rFonts w:ascii="標楷體" w:eastAsia="標楷體" w:hAnsi="標楷體"/>
          <w:b/>
          <w:sz w:val="28"/>
          <w:szCs w:val="28"/>
        </w:rPr>
        <w:t>11</w:t>
      </w:r>
      <w:r w:rsidR="00A55ACB" w:rsidRPr="00573450">
        <w:rPr>
          <w:rFonts w:ascii="標楷體" w:eastAsia="標楷體" w:hAnsi="標楷體" w:hint="eastAsia"/>
          <w:b/>
          <w:sz w:val="28"/>
          <w:szCs w:val="28"/>
          <w:lang w:eastAsia="zh-TW"/>
        </w:rPr>
        <w:t>日</w:t>
      </w:r>
    </w:p>
    <w:p w:rsidR="00A55ACB" w:rsidRDefault="00A55ACB" w:rsidP="007164C2">
      <w:pPr>
        <w:widowControl/>
        <w:spacing w:line="400" w:lineRule="exact"/>
        <w:rPr>
          <w:rFonts w:ascii="標楷體" w:eastAsia="標楷體" w:hAnsi="標楷體"/>
          <w:sz w:val="36"/>
          <w:szCs w:val="36"/>
          <w:lang w:eastAsia="zh-TW"/>
        </w:rPr>
      </w:pPr>
    </w:p>
    <w:p w:rsidR="00573450" w:rsidRPr="00015F27" w:rsidRDefault="00573450" w:rsidP="007164C2">
      <w:pPr>
        <w:widowControl/>
        <w:spacing w:line="400" w:lineRule="exact"/>
        <w:rPr>
          <w:rFonts w:ascii="標楷體" w:eastAsia="標楷體" w:hAnsi="標楷體"/>
          <w:sz w:val="36"/>
          <w:szCs w:val="36"/>
          <w:lang w:eastAsia="zh-TW"/>
        </w:rPr>
      </w:pPr>
    </w:p>
    <w:p w:rsidR="00A55ACB" w:rsidRPr="00015F27" w:rsidRDefault="00A55ACB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今天，亞太經濟合作會議(APEC)的領袖們，於中國大陸北京雁棲湖</w:t>
      </w:r>
      <w:r w:rsidR="00496842">
        <w:rPr>
          <w:rFonts w:ascii="標楷體" w:eastAsia="標楷體" w:hAnsi="標楷體" w:hint="eastAsia"/>
          <w:sz w:val="28"/>
          <w:szCs w:val="28"/>
          <w:lang w:eastAsia="zh-TW"/>
        </w:rPr>
        <w:t>畔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召開第22屆APEC經濟領袖會議，共同發佈這份聲明以紀念APEC成立25週年。</w:t>
      </w:r>
    </w:p>
    <w:p w:rsidR="00A55ACB" w:rsidRPr="00015F27" w:rsidRDefault="00A55ACB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A55ACB" w:rsidRPr="00015F27" w:rsidRDefault="00A55ACB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回顧APEC於1989年成立，著實為亞太區域之經濟合作開啟了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歷史新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頁。過去25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年來，為追求本區域的經濟成長、民眾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福祉與共同之繁榮，APEC透過「貿易投資自由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化及便捷化」以及「經濟與技術合作」雙軌並進的方式，驅動其進展。APEC曾參與並貢獻於因應亞洲金融危機與全球金融危機等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重大挑戰的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全球行動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；如今</w:t>
      </w:r>
      <w:r w:rsidRPr="00015F27">
        <w:rPr>
          <w:rFonts w:ascii="標楷體" w:eastAsia="標楷體" w:hAnsi="標楷體"/>
          <w:sz w:val="28"/>
          <w:szCs w:val="28"/>
          <w:lang w:eastAsia="zh-TW"/>
        </w:rPr>
        <w:t>APEC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會員體已成為全球成長的重要引擎。</w:t>
      </w:r>
    </w:p>
    <w:p w:rsidR="00A55ACB" w:rsidRPr="00015F27" w:rsidRDefault="00A55ACB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A55ACB" w:rsidRPr="00015F27" w:rsidRDefault="00A55ACB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我們欣然指出：APEC已成為亞太地區優質、最廣泛且最具影響力的區域經濟合作論壇，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為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打造活力充沛且富裕的亞太社群</w:t>
      </w:r>
      <w:r w:rsidR="000122D4" w:rsidRPr="000122D4">
        <w:rPr>
          <w:rFonts w:ascii="標楷體" w:eastAsia="標楷體" w:hAnsi="標楷體" w:hint="eastAsia"/>
          <w:sz w:val="28"/>
          <w:szCs w:val="28"/>
          <w:lang w:eastAsia="zh-TW"/>
        </w:rPr>
        <w:t>共同努力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A55ACB" w:rsidRPr="00015F27" w:rsidRDefault="00A55ACB" w:rsidP="007164C2">
      <w:pPr>
        <w:widowControl/>
        <w:spacing w:line="400" w:lineRule="exact"/>
        <w:ind w:left="425"/>
        <w:rPr>
          <w:rFonts w:ascii="標楷體" w:eastAsia="標楷體" w:hAnsi="標楷體"/>
          <w:sz w:val="28"/>
          <w:szCs w:val="28"/>
          <w:lang w:eastAsia="zh-TW"/>
        </w:rPr>
      </w:pPr>
    </w:p>
    <w:p w:rsidR="00A55ACB" w:rsidRPr="00015F27" w:rsidRDefault="00A55ACB" w:rsidP="007164C2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15F27">
        <w:rPr>
          <w:rFonts w:ascii="標楷體" w:eastAsia="標楷體" w:hAnsi="標楷體" w:hint="eastAsia"/>
          <w:b/>
          <w:sz w:val="28"/>
          <w:szCs w:val="28"/>
          <w:lang w:eastAsia="zh-TW"/>
        </w:rPr>
        <w:t>進展與成就</w:t>
      </w:r>
    </w:p>
    <w:p w:rsidR="00A55ACB" w:rsidRPr="00015F27" w:rsidRDefault="00A55ACB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A55ACB" w:rsidRPr="00015F27" w:rsidRDefault="00A55ACB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我們肯定APEC自1989年成立以來</w:t>
      </w:r>
      <w:r w:rsidR="000122D4"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所達成之歷史成就與卓越成果。過去25年來，</w:t>
      </w:r>
      <w:r w:rsidRPr="00015F27">
        <w:rPr>
          <w:rFonts w:ascii="標楷體" w:eastAsia="標楷體" w:hAnsi="標楷體"/>
          <w:sz w:val="28"/>
          <w:szCs w:val="28"/>
          <w:lang w:eastAsia="zh-TW"/>
        </w:rPr>
        <w:t>APEC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經濟體的平均適用關稅已降低逾十個百分點，促使APEC區域內貨品貿易及APEC整體貿易成長七倍，同時也較全球其他地區享有更高的經濟成長。</w:t>
      </w:r>
      <w:r w:rsidRPr="00015F27">
        <w:rPr>
          <w:rFonts w:ascii="標楷體" w:eastAsia="標楷體" w:hAnsi="標楷體"/>
          <w:sz w:val="28"/>
          <w:szCs w:val="28"/>
          <w:lang w:eastAsia="zh-TW"/>
        </w:rPr>
        <w:t xml:space="preserve"> </w:t>
      </w:r>
    </w:p>
    <w:p w:rsidR="00A55ACB" w:rsidRPr="00015F27" w:rsidRDefault="00A55ACB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A55ACB" w:rsidRPr="00015F27" w:rsidRDefault="00A55ACB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我們欣見APEC在過去25年當中的許多成就：</w:t>
      </w:r>
    </w:p>
    <w:p w:rsidR="00A55ACB" w:rsidRPr="00015F27" w:rsidRDefault="00A55ACB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A55ACB" w:rsidRPr="00015F27" w:rsidRDefault="00A55ACB" w:rsidP="007164C2">
      <w:pPr>
        <w:widowControl/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APEC堅持平等、互利、相互尊重、開放、包容、彈性、務實和雙贏合作的精神；並遵循合作、自願性及共識決之原則。</w:t>
      </w:r>
    </w:p>
    <w:p w:rsidR="00A55ACB" w:rsidRPr="00015F27" w:rsidRDefault="00A55ACB" w:rsidP="007164C2">
      <w:pPr>
        <w:widowControl/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APEC建立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茂物目標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(Bogor Goals)，並提出兩個時程：敦促已開發經濟體於2010年以前實現自由與開放的貿易和投資，開發中經濟體則於2020年以前實現該目標。</w:t>
      </w:r>
    </w:p>
    <w:p w:rsidR="00A55ACB" w:rsidRPr="00015F27" w:rsidRDefault="00A55ACB" w:rsidP="007164C2">
      <w:pPr>
        <w:widowControl/>
        <w:numPr>
          <w:ilvl w:val="0"/>
          <w:numId w:val="6"/>
        </w:num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APEC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體認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到，貿易對於創造就業機會、經濟成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長及永續發展的重要性，並重申在WTO中</w:t>
      </w:r>
      <w:r w:rsidR="000122D4">
        <w:rPr>
          <w:rFonts w:ascii="新細明體" w:eastAsia="新細明體" w:hAnsi="新細明體" w:hint="eastAsia"/>
          <w:sz w:val="28"/>
          <w:szCs w:val="28"/>
          <w:lang w:eastAsia="zh-TW"/>
        </w:rPr>
        <w:t>，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多邊貿易體系的價值、中心性與優先性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。歷史上，APEC</w:t>
      </w:r>
      <w:r w:rsidR="001C140D">
        <w:rPr>
          <w:rFonts w:ascii="標楷體" w:eastAsia="標楷體" w:hAnsi="標楷體" w:hint="eastAsia"/>
          <w:sz w:val="28"/>
          <w:szCs w:val="28"/>
          <w:lang w:eastAsia="zh-TW"/>
        </w:rPr>
        <w:t>一向支持以規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則為基礎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(rules-based)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的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多邊貿易體系，並在促成1994年完成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的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烏拉圭回合談判、2001年啟動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的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杜哈發展議程(DDA)、1996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年簽署的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資訊科技協定(ITA)、2012年推動</w:t>
      </w:r>
      <w:r w:rsidR="000122D4">
        <w:rPr>
          <w:rFonts w:ascii="標楷體" w:eastAsia="標楷體" w:hAnsi="標楷體" w:hint="eastAsia"/>
          <w:sz w:val="28"/>
          <w:szCs w:val="28"/>
          <w:lang w:eastAsia="zh-TW"/>
        </w:rPr>
        <w:t>的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ITA擴大談判和2014年環境商品協定(EGA)談判，以及2013年達成</w:t>
      </w:r>
      <w:r w:rsidR="004B242E">
        <w:rPr>
          <w:rFonts w:ascii="標楷體" w:eastAsia="標楷體" w:hAnsi="標楷體" w:hint="eastAsia"/>
          <w:sz w:val="28"/>
          <w:szCs w:val="28"/>
          <w:lang w:eastAsia="zh-TW"/>
        </w:rPr>
        <w:t>的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峇里套案(Bali Package)</w:t>
      </w:r>
      <w:r w:rsidR="004B242E">
        <w:rPr>
          <w:rFonts w:ascii="標楷體" w:eastAsia="標楷體" w:hAnsi="標楷體" w:hint="eastAsia"/>
          <w:sz w:val="28"/>
          <w:szCs w:val="28"/>
          <w:lang w:eastAsia="zh-TW"/>
        </w:rPr>
        <w:t>等一系列成果中，扮演領導角色。為支持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自由</w:t>
      </w:r>
      <w:r w:rsidR="001C140D">
        <w:rPr>
          <w:rFonts w:ascii="新細明體" w:eastAsia="新細明體" w:hAnsi="新細明體" w:hint="eastAsia"/>
          <w:sz w:val="28"/>
          <w:szCs w:val="28"/>
          <w:lang w:eastAsia="zh-TW"/>
        </w:rPr>
        <w:t>、</w:t>
      </w:r>
      <w:r w:rsidR="004B242E">
        <w:rPr>
          <w:rFonts w:ascii="標楷體" w:eastAsia="標楷體" w:hAnsi="標楷體" w:hint="eastAsia"/>
          <w:sz w:val="28"/>
          <w:szCs w:val="28"/>
          <w:lang w:eastAsia="zh-TW"/>
        </w:rPr>
        <w:t>開放的貿易與投資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 xml:space="preserve">，APEC經濟體承諾避免提出新的貿易及投資障礙，並打擊各種形式的保護主義。 </w:t>
      </w:r>
    </w:p>
    <w:p w:rsidR="00A55ACB" w:rsidRPr="00015F27" w:rsidRDefault="00A55ACB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A55ACB" w:rsidRPr="00015F27" w:rsidRDefault="00A55ACB" w:rsidP="007164C2">
      <w:pPr>
        <w:pStyle w:val="2"/>
        <w:widowControl/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在各項區域與全球經濟合作當中，APEC一向扮演先驅者</w:t>
      </w:r>
      <w:r w:rsidR="001C140D">
        <w:rPr>
          <w:rFonts w:ascii="標楷體" w:eastAsia="標楷體" w:hAnsi="標楷體" w:hint="eastAsia"/>
          <w:sz w:val="28"/>
          <w:szCs w:val="28"/>
          <w:lang w:eastAsia="zh-TW"/>
        </w:rPr>
        <w:t>角色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、設定工作節奏，以及開拓路徑，並推動各項進程，</w:t>
      </w:r>
      <w:r w:rsidR="001C140D">
        <w:rPr>
          <w:rFonts w:ascii="標楷體" w:eastAsia="標楷體" w:hAnsi="標楷體" w:hint="eastAsia"/>
          <w:sz w:val="28"/>
          <w:szCs w:val="28"/>
          <w:lang w:eastAsia="zh-TW"/>
        </w:rPr>
        <w:t>以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最終實現亞太自由貿易區(</w:t>
      </w:r>
      <w:r w:rsidRPr="00015F27">
        <w:rPr>
          <w:rFonts w:ascii="標楷體" w:eastAsia="標楷體" w:hAnsi="標楷體" w:hint="eastAsia"/>
          <w:sz w:val="28"/>
          <w:szCs w:val="28"/>
        </w:rPr>
        <w:t>Free Trade Area of the Asia-Pacific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,</w:t>
      </w:r>
      <w:r w:rsidRPr="00015F27">
        <w:rPr>
          <w:rFonts w:ascii="標楷體" w:eastAsia="標楷體" w:hAnsi="標楷體" w:hint="eastAsia"/>
          <w:sz w:val="28"/>
          <w:szCs w:val="28"/>
        </w:rPr>
        <w:t xml:space="preserve"> FTAAP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)。此外，在促進貿易便捷化方面，包括透過APEC商務旅行卡(</w:t>
      </w:r>
      <w:r w:rsidRPr="00015F27">
        <w:rPr>
          <w:rFonts w:ascii="標楷體" w:eastAsia="標楷體" w:hAnsi="標楷體"/>
          <w:sz w:val="28"/>
          <w:szCs w:val="28"/>
          <w:lang w:eastAsia="zh-TW"/>
        </w:rPr>
        <w:t>APEC Business Travel Card</w:t>
      </w:r>
      <w:r w:rsidR="004B242E">
        <w:rPr>
          <w:rFonts w:ascii="標楷體" w:eastAsia="標楷體" w:hAnsi="標楷體" w:hint="eastAsia"/>
          <w:sz w:val="28"/>
          <w:szCs w:val="28"/>
          <w:lang w:eastAsia="zh-TW"/>
        </w:rPr>
        <w:t>, ABTC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)以加速商務旅行通關、支持全球價值鏈(Glob</w:t>
      </w:r>
      <w:r w:rsidRPr="00015F27">
        <w:rPr>
          <w:rFonts w:ascii="標楷體" w:eastAsia="標楷體" w:hAnsi="標楷體"/>
          <w:sz w:val="28"/>
          <w:szCs w:val="28"/>
          <w:lang w:eastAsia="zh-TW"/>
        </w:rPr>
        <w:t>al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 xml:space="preserve"> Value Chains, GVCs)的發展、啟動APEC成長策略、推動環境商品與服務貿易、改善供應鏈效能、促進連結性、強化良好法規的實踐，以及因應下世代貿易與投資議題。</w:t>
      </w:r>
    </w:p>
    <w:p w:rsidR="00A55ACB" w:rsidRPr="00015F27" w:rsidRDefault="00A55ACB" w:rsidP="007164C2">
      <w:pPr>
        <w:pStyle w:val="2"/>
        <w:widowControl/>
        <w:spacing w:line="400" w:lineRule="exact"/>
        <w:ind w:left="425"/>
        <w:rPr>
          <w:rFonts w:ascii="標楷體" w:eastAsia="標楷體" w:hAnsi="標楷體"/>
          <w:sz w:val="28"/>
          <w:szCs w:val="28"/>
          <w:lang w:eastAsia="zh-TW"/>
        </w:rPr>
      </w:pPr>
    </w:p>
    <w:p w:rsidR="00A55ACB" w:rsidRPr="00015F27" w:rsidRDefault="00A55ACB" w:rsidP="007164C2">
      <w:pPr>
        <w:pStyle w:val="2"/>
        <w:widowControl/>
        <w:numPr>
          <w:ilvl w:val="0"/>
          <w:numId w:val="4"/>
        </w:num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APEC</w:t>
      </w:r>
      <w:r w:rsidR="004B242E">
        <w:rPr>
          <w:rFonts w:ascii="標楷體" w:eastAsia="標楷體" w:hAnsi="標楷體" w:hint="eastAsia"/>
          <w:sz w:val="28"/>
          <w:szCs w:val="28"/>
          <w:lang w:eastAsia="zh-TW"/>
        </w:rPr>
        <w:t>已在許多領域進行務實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合作，包括</w:t>
      </w:r>
      <w:r w:rsidR="004B242E">
        <w:rPr>
          <w:rFonts w:ascii="標楷體" w:eastAsia="標楷體" w:hAnsi="標楷體" w:hint="eastAsia"/>
          <w:sz w:val="28"/>
          <w:szCs w:val="28"/>
          <w:lang w:eastAsia="zh-TW"/>
        </w:rPr>
        <w:t>: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結構改革；標準與符合性；女性與經濟；衛生、教育與勞工；氣候變遷；糧食安全與食品安全；能源安全與永續能源發展；綠色經濟；藍色經濟；中小企業；資通訊科</w:t>
      </w:r>
      <w:r w:rsidR="007164C2">
        <w:rPr>
          <w:rFonts w:ascii="標楷體" w:eastAsia="標楷體" w:hAnsi="標楷體" w:hint="eastAsia"/>
          <w:sz w:val="28"/>
          <w:szCs w:val="28"/>
          <w:lang w:eastAsia="zh-TW"/>
        </w:rPr>
        <w:t>技；運輸；基礎建設發展和投資；森林；礦業；反恐怖主義；緊急應變，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以及</w:t>
      </w:r>
      <w:r w:rsidR="007164C2">
        <w:rPr>
          <w:rFonts w:ascii="標楷體" w:eastAsia="標楷體" w:hAnsi="標楷體" w:hint="eastAsia"/>
          <w:sz w:val="28"/>
          <w:szCs w:val="28"/>
          <w:lang w:eastAsia="zh-TW"/>
        </w:rPr>
        <w:t>；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反貪腐。</w:t>
      </w:r>
    </w:p>
    <w:p w:rsidR="00A55ACB" w:rsidRPr="007164C2" w:rsidRDefault="00A55ACB" w:rsidP="007164C2">
      <w:pPr>
        <w:pStyle w:val="2"/>
        <w:widowControl/>
        <w:spacing w:line="400" w:lineRule="exact"/>
        <w:ind w:left="425"/>
        <w:rPr>
          <w:rFonts w:ascii="標楷體" w:eastAsia="標楷體" w:hAnsi="標楷體"/>
          <w:sz w:val="28"/>
          <w:szCs w:val="28"/>
          <w:lang w:eastAsia="zh-TW"/>
        </w:rPr>
      </w:pPr>
    </w:p>
    <w:p w:rsidR="00A55ACB" w:rsidRPr="00015F27" w:rsidRDefault="00A55ACB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</w:rPr>
        <w:t>APEC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已透過</w:t>
      </w:r>
      <w:r w:rsidR="007164C2">
        <w:rPr>
          <w:rFonts w:ascii="標楷體" w:eastAsia="標楷體" w:hAnsi="標楷體" w:hint="eastAsia"/>
          <w:sz w:val="28"/>
          <w:szCs w:val="28"/>
          <w:lang w:eastAsia="zh-TW"/>
        </w:rPr>
        <w:t>APEC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企業諮詢委員會(</w:t>
      </w:r>
      <w:r w:rsidRPr="00015F27">
        <w:rPr>
          <w:rFonts w:ascii="標楷體" w:eastAsia="標楷體" w:hAnsi="標楷體" w:hint="eastAsia"/>
          <w:sz w:val="28"/>
          <w:szCs w:val="28"/>
        </w:rPr>
        <w:t>APEC Business Advisory Council</w:t>
      </w: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 xml:space="preserve">, ABAC)，設立將企業部門意見納入政策審議的機制。APEC誠摯感謝企業界在推動APEC議程上所扮演的積極角色。APEC針對特定產業部門所發展的產業對話與夥伴關係，對於強化會員體之間的經濟合作與整合，扮演著獨特的角色。我們再次肯定公私部門合作對於推動APEC的事務，具有重大的價值。 </w:t>
      </w:r>
    </w:p>
    <w:p w:rsidR="00A55ACB" w:rsidRPr="00015F27" w:rsidRDefault="00A55ACB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7164C2" w:rsidRDefault="007164C2" w:rsidP="007164C2">
      <w:pPr>
        <w:widowControl/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ascii="標楷體" w:eastAsia="標楷體" w:hAnsi="標楷體"/>
          <w:b/>
          <w:sz w:val="28"/>
          <w:szCs w:val="28"/>
          <w:lang w:eastAsia="zh-TW"/>
        </w:rPr>
        <w:br w:type="page"/>
      </w:r>
    </w:p>
    <w:p w:rsidR="00A55ACB" w:rsidRPr="00015F27" w:rsidRDefault="00A55ACB" w:rsidP="007164C2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15F27"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>新的機會與挑戰</w:t>
      </w:r>
    </w:p>
    <w:p w:rsidR="00A55ACB" w:rsidRPr="00015F27" w:rsidRDefault="00A55ACB" w:rsidP="007164C2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A55ACB" w:rsidRDefault="00A55ACB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25年後的今天，APEC與亞太各經濟體處於一個新的歷史起點，並面臨前所未有的機會與挑戰。</w:t>
      </w:r>
    </w:p>
    <w:p w:rsidR="009D2453" w:rsidRPr="009D2453" w:rsidRDefault="009D2453" w:rsidP="007164C2">
      <w:pPr>
        <w:widowControl/>
        <w:tabs>
          <w:tab w:val="left" w:pos="425"/>
        </w:tabs>
        <w:spacing w:line="400" w:lineRule="exact"/>
        <w:ind w:left="425"/>
        <w:rPr>
          <w:rFonts w:ascii="標楷體" w:eastAsia="標楷體" w:hAnsi="標楷體"/>
          <w:sz w:val="28"/>
          <w:szCs w:val="28"/>
          <w:lang w:eastAsia="zh-TW"/>
        </w:rPr>
      </w:pPr>
    </w:p>
    <w:p w:rsidR="002470AD" w:rsidRPr="00355BAE" w:rsidRDefault="002470AD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470AD">
        <w:rPr>
          <w:rFonts w:ascii="標楷體" w:eastAsia="標楷體" w:hAnsi="標楷體" w:hint="eastAsia"/>
          <w:sz w:val="28"/>
          <w:szCs w:val="28"/>
          <w:lang w:eastAsia="zh-TW"/>
        </w:rPr>
        <w:t>我們樂見亞太區域維持穩健、持續的發展。在各項推動改革與創新發展的努力下，亞太區域不斷強化在全球經濟成長引擎的領導</w:t>
      </w:r>
      <w:r w:rsidRPr="00355BAE">
        <w:rPr>
          <w:rFonts w:ascii="標楷體" w:eastAsia="標楷體" w:hAnsi="標楷體" w:hint="eastAsia"/>
          <w:sz w:val="28"/>
          <w:szCs w:val="28"/>
          <w:lang w:eastAsia="zh-TW"/>
        </w:rPr>
        <w:t>地位。我們對亞太區域光明的未來充滿信心。</w:t>
      </w:r>
    </w:p>
    <w:p w:rsidR="002470AD" w:rsidRPr="002470AD" w:rsidRDefault="002470AD" w:rsidP="007164C2">
      <w:pPr>
        <w:widowControl/>
        <w:tabs>
          <w:tab w:val="left" w:pos="425"/>
        </w:tabs>
        <w:spacing w:line="400" w:lineRule="exact"/>
        <w:ind w:left="425"/>
        <w:rPr>
          <w:rFonts w:ascii="標楷體" w:eastAsia="標楷體" w:hAnsi="標楷體"/>
          <w:sz w:val="28"/>
          <w:szCs w:val="28"/>
          <w:lang w:eastAsia="zh-TW"/>
        </w:rPr>
      </w:pPr>
    </w:p>
    <w:p w:rsidR="002470AD" w:rsidRPr="002470AD" w:rsidRDefault="002470AD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470AD">
        <w:rPr>
          <w:rFonts w:ascii="標楷體" w:eastAsia="標楷體" w:hAnsi="標楷體" w:hint="eastAsia"/>
          <w:sz w:val="28"/>
          <w:szCs w:val="28"/>
          <w:lang w:eastAsia="zh-TW"/>
        </w:rPr>
        <w:t>在此同時，我們正面臨各項嚴峻挑戰。我們也體認到，身處在全球與區域經濟合作組織蓬勃發展的世界，APEC</w:t>
      </w:r>
      <w:r w:rsidR="00253EEA">
        <w:rPr>
          <w:rFonts w:ascii="標楷體" w:eastAsia="標楷體" w:hAnsi="標楷體" w:hint="eastAsia"/>
          <w:sz w:val="28"/>
          <w:szCs w:val="28"/>
          <w:lang w:eastAsia="zh-TW"/>
        </w:rPr>
        <w:t>為發揮領導及協調的角色，必須緊隨全球經濟趨勢，並持續透過</w:t>
      </w:r>
      <w:r w:rsidRPr="002470AD">
        <w:rPr>
          <w:rFonts w:ascii="標楷體" w:eastAsia="標楷體" w:hAnsi="標楷體" w:hint="eastAsia"/>
          <w:sz w:val="28"/>
          <w:szCs w:val="28"/>
          <w:lang w:eastAsia="zh-TW"/>
        </w:rPr>
        <w:t>新穎與創新的途徑，達成其目標。我們期許APEC</w:t>
      </w:r>
      <w:r w:rsidR="0098022D">
        <w:rPr>
          <w:rFonts w:ascii="標楷體" w:eastAsia="標楷體" w:hAnsi="標楷體" w:hint="eastAsia"/>
          <w:sz w:val="28"/>
          <w:szCs w:val="28"/>
          <w:lang w:eastAsia="zh-TW"/>
        </w:rPr>
        <w:t>持續推進</w:t>
      </w:r>
      <w:r w:rsidRPr="002470AD">
        <w:rPr>
          <w:rFonts w:ascii="標楷體" w:eastAsia="標楷體" w:hAnsi="標楷體" w:hint="eastAsia"/>
          <w:sz w:val="28"/>
          <w:szCs w:val="28"/>
          <w:lang w:eastAsia="zh-TW"/>
        </w:rPr>
        <w:t xml:space="preserve">區域經濟整合、支持多邊貿易體系、對抗任何形式的保護主義，並防止碎裂化風險。 </w:t>
      </w:r>
    </w:p>
    <w:p w:rsidR="002470AD" w:rsidRPr="002470AD" w:rsidRDefault="002470AD" w:rsidP="007164C2">
      <w:pPr>
        <w:widowControl/>
        <w:tabs>
          <w:tab w:val="left" w:pos="425"/>
        </w:tabs>
        <w:spacing w:line="400" w:lineRule="exact"/>
        <w:ind w:left="425"/>
        <w:rPr>
          <w:rFonts w:ascii="標楷體" w:eastAsia="標楷體" w:hAnsi="標楷體"/>
          <w:sz w:val="28"/>
          <w:szCs w:val="28"/>
          <w:lang w:eastAsia="zh-TW"/>
        </w:rPr>
      </w:pPr>
    </w:p>
    <w:p w:rsidR="002470AD" w:rsidRPr="002470AD" w:rsidRDefault="002470AD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470AD">
        <w:rPr>
          <w:rFonts w:ascii="標楷體" w:eastAsia="標楷體" w:hAnsi="標楷體" w:hint="eastAsia"/>
          <w:sz w:val="28"/>
          <w:szCs w:val="28"/>
          <w:lang w:eastAsia="zh-TW"/>
        </w:rPr>
        <w:t>因此，在後金融危機時代，為持續成長，各會員體必需尋找新的工作領域與驅動力。APEC經濟體承諾將加倍努力克服瓶頸，並確保連結性工作及基礎建設發展能符合會員體日益增加之需求。</w:t>
      </w:r>
    </w:p>
    <w:p w:rsidR="002470AD" w:rsidRPr="002470AD" w:rsidRDefault="002470AD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2470AD" w:rsidRPr="002470AD" w:rsidRDefault="002470AD" w:rsidP="007164C2">
      <w:pPr>
        <w:widowControl/>
        <w:spacing w:line="400" w:lineRule="exact"/>
        <w:rPr>
          <w:rFonts w:ascii="標楷體" w:eastAsia="標楷體" w:hAnsi="標楷體"/>
          <w:b/>
          <w:sz w:val="28"/>
          <w:szCs w:val="28"/>
          <w:lang w:eastAsia="zh-TW"/>
        </w:rPr>
      </w:pPr>
      <w:r w:rsidRPr="002470AD">
        <w:rPr>
          <w:rFonts w:ascii="標楷體" w:eastAsia="標楷體" w:hAnsi="標楷體" w:hint="eastAsia"/>
          <w:b/>
          <w:sz w:val="28"/>
          <w:szCs w:val="28"/>
          <w:lang w:eastAsia="zh-TW"/>
        </w:rPr>
        <w:t>攜手亞太，共創未來</w:t>
      </w:r>
    </w:p>
    <w:p w:rsidR="002470AD" w:rsidRDefault="002470AD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470AD">
        <w:rPr>
          <w:rFonts w:ascii="標楷體" w:eastAsia="標楷體" w:hAnsi="標楷體" w:hint="eastAsia"/>
          <w:sz w:val="28"/>
          <w:szCs w:val="28"/>
          <w:lang w:eastAsia="zh-TW"/>
        </w:rPr>
        <w:t>今天，我們齊聚一堂，慶賀APEC達成的各項成就，同時展望未來，凝聚推動亞太區域長遠發展之視野與方向。我們承諾將全力維持APEC，作為推動亞太區域永續經濟成長、繁榮，與促進投資貿易自由開放的重要論壇。</w:t>
      </w:r>
    </w:p>
    <w:p w:rsidR="00F0027B" w:rsidRPr="002470AD" w:rsidRDefault="00F0027B" w:rsidP="007164C2">
      <w:pPr>
        <w:widowControl/>
        <w:spacing w:line="400" w:lineRule="exact"/>
        <w:ind w:left="425"/>
        <w:rPr>
          <w:rFonts w:ascii="標楷體" w:eastAsia="標楷體" w:hAnsi="標楷體"/>
          <w:sz w:val="28"/>
          <w:szCs w:val="28"/>
          <w:lang w:eastAsia="zh-TW"/>
        </w:rPr>
      </w:pPr>
    </w:p>
    <w:p w:rsidR="002470AD" w:rsidRDefault="002470AD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470AD">
        <w:rPr>
          <w:rFonts w:ascii="標楷體" w:eastAsia="標楷體" w:hAnsi="標楷體" w:hint="eastAsia"/>
          <w:sz w:val="28"/>
          <w:szCs w:val="28"/>
          <w:lang w:eastAsia="zh-TW"/>
        </w:rPr>
        <w:t>我們承諾，透過建立互相尊重、信任、包容及共贏的亞太夥伴關係，在APEC歷史成就之基礎上，發揚合作精神，共創未來。</w:t>
      </w:r>
    </w:p>
    <w:p w:rsidR="00F0027B" w:rsidRPr="002470AD" w:rsidRDefault="00F0027B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2470AD" w:rsidRDefault="002470AD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470AD">
        <w:rPr>
          <w:rFonts w:ascii="標楷體" w:eastAsia="標楷體" w:hAnsi="標楷體" w:hint="eastAsia"/>
          <w:sz w:val="28"/>
          <w:szCs w:val="28"/>
          <w:lang w:eastAsia="zh-TW"/>
        </w:rPr>
        <w:t>我們承諾，在推動創新發展、互相連結成長，以及利益分享的基礎上，共同在亞太區域內打造開放的經濟體系。</w:t>
      </w:r>
    </w:p>
    <w:p w:rsidR="00DB09BE" w:rsidRPr="00DB09BE" w:rsidRDefault="00DB09BE" w:rsidP="007164C2">
      <w:pPr>
        <w:widowControl/>
        <w:tabs>
          <w:tab w:val="left" w:pos="425"/>
        </w:tabs>
        <w:spacing w:line="400" w:lineRule="exact"/>
        <w:ind w:left="425"/>
        <w:rPr>
          <w:rFonts w:ascii="標楷體" w:eastAsia="標楷體" w:hAnsi="標楷體"/>
          <w:sz w:val="28"/>
          <w:szCs w:val="28"/>
          <w:lang w:eastAsia="zh-TW"/>
        </w:rPr>
      </w:pPr>
    </w:p>
    <w:p w:rsidR="002470AD" w:rsidRPr="002470AD" w:rsidRDefault="002470AD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470AD">
        <w:rPr>
          <w:rFonts w:ascii="標楷體" w:eastAsia="標楷體" w:hAnsi="標楷體" w:hint="eastAsia"/>
          <w:sz w:val="28"/>
          <w:szCs w:val="28"/>
          <w:lang w:eastAsia="zh-TW"/>
        </w:rPr>
        <w:t>我們在協助推動WTO事務方面，擁有深具領導地位的光榮傳統，在此基礎上，我們應持續合作，捍衛並提升強勁且深具活力的多邊貿易體系，以強化WTO在全球經濟治理中的領導角色。</w:t>
      </w:r>
    </w:p>
    <w:p w:rsidR="002470AD" w:rsidRPr="002470AD" w:rsidRDefault="002470AD" w:rsidP="007164C2">
      <w:pPr>
        <w:widowControl/>
        <w:tabs>
          <w:tab w:val="left" w:pos="425"/>
        </w:tabs>
        <w:spacing w:line="400" w:lineRule="exact"/>
        <w:ind w:left="425"/>
        <w:rPr>
          <w:rFonts w:ascii="標楷體" w:eastAsia="標楷體" w:hAnsi="標楷體"/>
          <w:sz w:val="28"/>
          <w:szCs w:val="28"/>
          <w:lang w:eastAsia="zh-TW"/>
        </w:rPr>
      </w:pPr>
    </w:p>
    <w:p w:rsidR="002470AD" w:rsidRPr="002470AD" w:rsidRDefault="002470AD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2470AD">
        <w:rPr>
          <w:rFonts w:ascii="標楷體" w:eastAsia="標楷體" w:hAnsi="標楷體" w:hint="eastAsia"/>
          <w:sz w:val="28"/>
          <w:szCs w:val="28"/>
          <w:lang w:eastAsia="zh-TW"/>
        </w:rPr>
        <w:lastRenderedPageBreak/>
        <w:t>為提升區域經濟成長，我們將致力協調總體經濟政策，並藉由推動資訊分享與政策對話，創造政策綜效，以及健全的政策環境。</w:t>
      </w:r>
    </w:p>
    <w:p w:rsidR="00971072" w:rsidRPr="002470AD" w:rsidRDefault="00971072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7F2226" w:rsidRPr="00015F27" w:rsidRDefault="00353893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我們重申</w:t>
      </w:r>
      <w:r w:rsidR="00EA1A52" w:rsidRPr="00015F27">
        <w:rPr>
          <w:rFonts w:ascii="標楷體" w:eastAsia="標楷體" w:hAnsi="標楷體" w:hint="eastAsia"/>
          <w:sz w:val="28"/>
          <w:szCs w:val="28"/>
          <w:lang w:eastAsia="zh-TW"/>
        </w:rPr>
        <w:t>在2020</w:t>
      </w:r>
      <w:r w:rsidR="008F4B6F" w:rsidRPr="00015F27">
        <w:rPr>
          <w:rFonts w:ascii="標楷體" w:eastAsia="標楷體" w:hAnsi="標楷體" w:hint="eastAsia"/>
          <w:sz w:val="28"/>
          <w:szCs w:val="28"/>
          <w:lang w:eastAsia="zh-TW"/>
        </w:rPr>
        <w:t>年</w:t>
      </w:r>
      <w:r w:rsidR="00EA1A52" w:rsidRPr="00015F27">
        <w:rPr>
          <w:rFonts w:ascii="標楷體" w:eastAsia="標楷體" w:hAnsi="標楷體" w:hint="eastAsia"/>
          <w:sz w:val="28"/>
          <w:szCs w:val="28"/>
          <w:lang w:eastAsia="zh-TW"/>
        </w:rPr>
        <w:t>前</w:t>
      </w:r>
      <w:r w:rsidR="00281A5C" w:rsidRPr="00015F27">
        <w:rPr>
          <w:rFonts w:ascii="標楷體" w:eastAsia="標楷體" w:hAnsi="標楷體" w:hint="eastAsia"/>
          <w:sz w:val="28"/>
          <w:szCs w:val="28"/>
          <w:lang w:eastAsia="zh-TW"/>
        </w:rPr>
        <w:t>實現</w:t>
      </w:r>
      <w:r w:rsidR="00EA1A52" w:rsidRPr="00015F27">
        <w:rPr>
          <w:rFonts w:ascii="標楷體" w:eastAsia="標楷體" w:hAnsi="標楷體" w:hint="eastAsia"/>
          <w:sz w:val="28"/>
          <w:szCs w:val="28"/>
          <w:lang w:eastAsia="zh-TW"/>
        </w:rPr>
        <w:t>茂物目標</w:t>
      </w:r>
      <w:r w:rsidR="008F4B6F" w:rsidRPr="00015F27">
        <w:rPr>
          <w:rFonts w:ascii="標楷體" w:eastAsia="標楷體" w:hAnsi="標楷體" w:hint="eastAsia"/>
          <w:sz w:val="28"/>
          <w:szCs w:val="28"/>
          <w:lang w:eastAsia="zh-TW"/>
        </w:rPr>
        <w:t>的承諾</w:t>
      </w:r>
      <w:r w:rsidR="00E07794" w:rsidRPr="00015F27">
        <w:rPr>
          <w:rFonts w:ascii="標楷體" w:eastAsia="標楷體" w:hAnsi="標楷體" w:hint="eastAsia"/>
          <w:sz w:val="28"/>
          <w:szCs w:val="28"/>
          <w:lang w:eastAsia="zh-TW"/>
        </w:rPr>
        <w:t>，並</w:t>
      </w:r>
      <w:r w:rsidR="007A34FE" w:rsidRPr="00015F27">
        <w:rPr>
          <w:rFonts w:ascii="標楷體" w:eastAsia="標楷體" w:hAnsi="標楷體" w:hint="eastAsia"/>
          <w:sz w:val="28"/>
          <w:szCs w:val="28"/>
          <w:lang w:eastAsia="zh-TW"/>
        </w:rPr>
        <w:t>在</w:t>
      </w:r>
      <w:r w:rsidR="005325FC" w:rsidRPr="00015F27">
        <w:rPr>
          <w:rFonts w:ascii="標楷體" w:eastAsia="標楷體" w:hAnsi="標楷體" w:hint="eastAsia"/>
          <w:sz w:val="28"/>
          <w:szCs w:val="28"/>
          <w:lang w:eastAsia="zh-TW"/>
        </w:rPr>
        <w:t>目前既有的成果</w:t>
      </w:r>
      <w:r w:rsidR="007110C2" w:rsidRPr="00015F27">
        <w:rPr>
          <w:rFonts w:ascii="標楷體" w:eastAsia="標楷體" w:hAnsi="標楷體" w:hint="eastAsia"/>
          <w:sz w:val="28"/>
          <w:szCs w:val="28"/>
          <w:lang w:eastAsia="zh-TW"/>
        </w:rPr>
        <w:t>基礎</w:t>
      </w:r>
      <w:r w:rsidR="00DA0F14" w:rsidRPr="00015F27">
        <w:rPr>
          <w:rFonts w:ascii="標楷體" w:eastAsia="標楷體" w:hAnsi="標楷體" w:hint="eastAsia"/>
          <w:sz w:val="28"/>
          <w:szCs w:val="28"/>
          <w:lang w:eastAsia="zh-TW"/>
        </w:rPr>
        <w:t>上</w:t>
      </w:r>
      <w:r w:rsidR="007110C2" w:rsidRPr="00015F27">
        <w:rPr>
          <w:rFonts w:ascii="標楷體" w:eastAsia="標楷體" w:hAnsi="標楷體" w:hint="eastAsia"/>
          <w:sz w:val="28"/>
          <w:szCs w:val="28"/>
          <w:lang w:eastAsia="zh-TW"/>
        </w:rPr>
        <w:t>加強</w:t>
      </w:r>
      <w:r w:rsidR="007A34FE" w:rsidRPr="00015F27">
        <w:rPr>
          <w:rFonts w:ascii="標楷體" w:eastAsia="標楷體" w:hAnsi="標楷體" w:hint="eastAsia"/>
          <w:sz w:val="28"/>
          <w:szCs w:val="28"/>
          <w:lang w:eastAsia="zh-TW"/>
        </w:rPr>
        <w:t>努力。</w:t>
      </w:r>
      <w:r w:rsidR="009A1777" w:rsidRPr="00015F27">
        <w:rPr>
          <w:rFonts w:ascii="標楷體" w:eastAsia="標楷體" w:hAnsi="標楷體" w:hint="eastAsia"/>
          <w:sz w:val="28"/>
          <w:szCs w:val="28"/>
          <w:lang w:eastAsia="zh-TW"/>
        </w:rPr>
        <w:t>APEC已開發經濟體</w:t>
      </w:r>
      <w:r w:rsidR="008E071C" w:rsidRPr="00015F27">
        <w:rPr>
          <w:rFonts w:ascii="標楷體" w:eastAsia="標楷體" w:hAnsi="標楷體" w:hint="eastAsia"/>
          <w:sz w:val="28"/>
          <w:szCs w:val="28"/>
          <w:lang w:eastAsia="zh-TW"/>
        </w:rPr>
        <w:t>願</w:t>
      </w:r>
      <w:r w:rsidR="00B96C04" w:rsidRPr="00015F27">
        <w:rPr>
          <w:rFonts w:ascii="標楷體" w:eastAsia="標楷體" w:hAnsi="標楷體" w:hint="eastAsia"/>
          <w:sz w:val="28"/>
          <w:szCs w:val="28"/>
          <w:lang w:eastAsia="zh-TW"/>
        </w:rPr>
        <w:t>意</w:t>
      </w:r>
      <w:r w:rsidR="008C2926" w:rsidRPr="00015F27">
        <w:rPr>
          <w:rFonts w:ascii="標楷體" w:eastAsia="標楷體" w:hAnsi="標楷體" w:hint="eastAsia"/>
          <w:sz w:val="28"/>
          <w:szCs w:val="28"/>
          <w:lang w:eastAsia="zh-TW"/>
        </w:rPr>
        <w:t>提供</w:t>
      </w:r>
      <w:r w:rsidR="007110C2" w:rsidRPr="00015F27">
        <w:rPr>
          <w:rFonts w:ascii="標楷體" w:eastAsia="標楷體" w:hAnsi="標楷體" w:hint="eastAsia"/>
          <w:sz w:val="28"/>
          <w:szCs w:val="28"/>
          <w:lang w:eastAsia="zh-TW"/>
        </w:rPr>
        <w:t>支持與協助</w:t>
      </w:r>
      <w:r w:rsidR="00BC133D" w:rsidRPr="00015F27">
        <w:rPr>
          <w:rFonts w:ascii="標楷體" w:eastAsia="標楷體" w:hAnsi="標楷體" w:hint="eastAsia"/>
          <w:sz w:val="28"/>
          <w:szCs w:val="28"/>
          <w:lang w:eastAsia="zh-TW"/>
        </w:rPr>
        <w:t>發</w:t>
      </w:r>
      <w:r w:rsidR="00B96C04" w:rsidRPr="00015F27">
        <w:rPr>
          <w:rFonts w:ascii="標楷體" w:eastAsia="標楷體" w:hAnsi="標楷體" w:hint="eastAsia"/>
          <w:sz w:val="28"/>
          <w:szCs w:val="28"/>
          <w:lang w:eastAsia="zh-TW"/>
        </w:rPr>
        <w:t>展中經濟體</w:t>
      </w:r>
      <w:r w:rsidR="00A83472" w:rsidRPr="00015F27">
        <w:rPr>
          <w:rFonts w:ascii="標楷體" w:eastAsia="標楷體" w:hAnsi="標楷體" w:hint="eastAsia"/>
          <w:sz w:val="28"/>
          <w:szCs w:val="28"/>
          <w:lang w:eastAsia="zh-TW"/>
        </w:rPr>
        <w:t>實現</w:t>
      </w:r>
      <w:r w:rsidR="008C2926" w:rsidRPr="00015F27">
        <w:rPr>
          <w:rFonts w:ascii="標楷體" w:eastAsia="標楷體" w:hAnsi="標楷體" w:hint="eastAsia"/>
          <w:sz w:val="28"/>
          <w:szCs w:val="28"/>
          <w:lang w:eastAsia="zh-TW"/>
        </w:rPr>
        <w:t>茂物目標。</w:t>
      </w:r>
    </w:p>
    <w:p w:rsidR="007F2226" w:rsidRPr="00015F27" w:rsidRDefault="007F2226" w:rsidP="007164C2">
      <w:pPr>
        <w:widowControl/>
        <w:spacing w:line="400" w:lineRule="exact"/>
        <w:ind w:left="425"/>
        <w:rPr>
          <w:rFonts w:ascii="標楷體" w:eastAsia="標楷體" w:hAnsi="標楷體"/>
          <w:sz w:val="28"/>
          <w:szCs w:val="28"/>
          <w:lang w:eastAsia="zh-TW"/>
        </w:rPr>
      </w:pPr>
    </w:p>
    <w:p w:rsidR="007F2226" w:rsidRPr="00015F27" w:rsidRDefault="001553EA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我們深</w:t>
      </w:r>
      <w:r w:rsidR="00B92959" w:rsidRPr="00015F27">
        <w:rPr>
          <w:rFonts w:ascii="標楷體" w:eastAsia="標楷體" w:hAnsi="標楷體" w:hint="eastAsia"/>
          <w:sz w:val="28"/>
          <w:szCs w:val="28"/>
          <w:lang w:eastAsia="zh-TW"/>
        </w:rPr>
        <w:t>信此次經濟領袖會議的決策將會成為</w:t>
      </w:r>
      <w:r w:rsidR="00CF3896" w:rsidRPr="00015F27">
        <w:rPr>
          <w:rFonts w:ascii="標楷體" w:eastAsia="標楷體" w:hAnsi="標楷體" w:hint="eastAsia"/>
          <w:sz w:val="28"/>
          <w:szCs w:val="28"/>
          <w:lang w:eastAsia="zh-TW"/>
        </w:rPr>
        <w:t>未來</w:t>
      </w:r>
      <w:r w:rsidR="00655F25" w:rsidRPr="00015F27">
        <w:rPr>
          <w:rFonts w:ascii="標楷體" w:eastAsia="標楷體" w:hAnsi="標楷體" w:hint="eastAsia"/>
          <w:sz w:val="28"/>
          <w:szCs w:val="28"/>
          <w:lang w:eastAsia="zh-TW"/>
        </w:rPr>
        <w:t>驅動亞太地域</w:t>
      </w:r>
      <w:r w:rsidR="00B92959" w:rsidRPr="00015F27">
        <w:rPr>
          <w:rFonts w:ascii="標楷體" w:eastAsia="標楷體" w:hAnsi="標楷體" w:hint="eastAsia"/>
          <w:sz w:val="28"/>
          <w:szCs w:val="28"/>
          <w:lang w:eastAsia="zh-TW"/>
        </w:rPr>
        <w:t>繁榮的基礎</w:t>
      </w:r>
      <w:r w:rsidR="00E040A6" w:rsidRPr="00015F27">
        <w:rPr>
          <w:rFonts w:ascii="標楷體" w:eastAsia="標楷體" w:hAnsi="標楷體" w:hint="eastAsia"/>
          <w:sz w:val="28"/>
          <w:szCs w:val="28"/>
          <w:lang w:eastAsia="zh-TW"/>
        </w:rPr>
        <w:t>。為達到</w:t>
      </w:r>
      <w:r w:rsidR="00CF3896" w:rsidRPr="00015F27">
        <w:rPr>
          <w:rFonts w:ascii="標楷體" w:eastAsia="標楷體" w:hAnsi="標楷體" w:hint="eastAsia"/>
          <w:sz w:val="28"/>
          <w:szCs w:val="28"/>
          <w:lang w:eastAsia="zh-TW"/>
        </w:rPr>
        <w:t>此</w:t>
      </w:r>
      <w:r w:rsidR="00E07199" w:rsidRPr="00015F27">
        <w:rPr>
          <w:rFonts w:ascii="標楷體" w:eastAsia="標楷體" w:hAnsi="標楷體" w:hint="eastAsia"/>
          <w:sz w:val="28"/>
          <w:szCs w:val="28"/>
          <w:lang w:eastAsia="zh-TW"/>
        </w:rPr>
        <w:t>目標，我們重申以下決定</w:t>
      </w:r>
      <w:r w:rsidR="00CE22DE" w:rsidRPr="00015F27">
        <w:rPr>
          <w:rFonts w:ascii="標楷體" w:eastAsia="標楷體" w:hAnsi="標楷體" w:hint="eastAsia"/>
          <w:sz w:val="28"/>
          <w:szCs w:val="28"/>
          <w:lang w:eastAsia="zh-TW"/>
        </w:rPr>
        <w:t>：</w:t>
      </w:r>
    </w:p>
    <w:p w:rsidR="007F2226" w:rsidRPr="00015F27" w:rsidRDefault="007F2226" w:rsidP="007164C2">
      <w:pPr>
        <w:pStyle w:val="1"/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7F2226" w:rsidRPr="00015F27" w:rsidRDefault="006521A5" w:rsidP="007164C2">
      <w:pPr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為</w:t>
      </w:r>
      <w:r w:rsidR="000F3016" w:rsidRPr="00015F27">
        <w:rPr>
          <w:rFonts w:ascii="標楷體" w:eastAsia="標楷體" w:hAnsi="標楷體" w:hint="eastAsia"/>
          <w:sz w:val="28"/>
          <w:szCs w:val="28"/>
          <w:lang w:eastAsia="zh-TW"/>
        </w:rPr>
        <w:t>落實</w:t>
      </w:r>
      <w:r w:rsidR="00AD7C22" w:rsidRPr="00015F27">
        <w:rPr>
          <w:rFonts w:ascii="標楷體" w:eastAsia="標楷體" w:hAnsi="標楷體" w:hint="eastAsia"/>
          <w:sz w:val="28"/>
          <w:szCs w:val="28"/>
          <w:lang w:eastAsia="zh-TW"/>
        </w:rPr>
        <w:t>「APEC</w:t>
      </w:r>
      <w:r w:rsidR="00C7791B">
        <w:rPr>
          <w:rFonts w:ascii="標楷體" w:eastAsia="標楷體" w:hAnsi="標楷體" w:hint="eastAsia"/>
          <w:sz w:val="28"/>
          <w:szCs w:val="28"/>
          <w:lang w:eastAsia="zh-TW"/>
        </w:rPr>
        <w:t>實現</w:t>
      </w:r>
      <w:r w:rsidR="00922AD9" w:rsidRPr="00015F27">
        <w:rPr>
          <w:rFonts w:ascii="標楷體" w:eastAsia="標楷體" w:hAnsi="標楷體" w:hint="eastAsia"/>
          <w:sz w:val="28"/>
          <w:szCs w:val="28"/>
          <w:lang w:eastAsia="zh-TW"/>
        </w:rPr>
        <w:t>亞太自由貿易區</w:t>
      </w:r>
      <w:r w:rsidR="00AD7C22" w:rsidRPr="00015F27">
        <w:rPr>
          <w:rFonts w:ascii="標楷體" w:eastAsia="標楷體" w:hAnsi="標楷體" w:hint="eastAsia"/>
          <w:sz w:val="28"/>
          <w:szCs w:val="28"/>
          <w:lang w:eastAsia="zh-TW"/>
        </w:rPr>
        <w:t>北京路徑圖」</w:t>
      </w:r>
      <w:r w:rsidR="00AD7C22" w:rsidRPr="00015F27">
        <w:rPr>
          <w:rFonts w:ascii="標楷體" w:eastAsia="標楷體" w:hAnsi="標楷體"/>
          <w:sz w:val="28"/>
          <w:szCs w:val="28"/>
          <w:lang w:eastAsia="zh-TW"/>
        </w:rPr>
        <w:t>(</w:t>
      </w:r>
      <w:r w:rsidR="00AD7C22" w:rsidRPr="00015F27">
        <w:rPr>
          <w:rFonts w:ascii="標楷體" w:eastAsia="標楷體" w:hAnsi="標楷體"/>
          <w:sz w:val="28"/>
          <w:szCs w:val="28"/>
        </w:rPr>
        <w:t>Beijing Roadmap for APEC's Contribution to the Realization of an FTAAP</w:t>
      </w:r>
      <w:r w:rsidR="00AD7C22" w:rsidRPr="00015F27">
        <w:rPr>
          <w:rFonts w:ascii="標楷體" w:eastAsia="標楷體" w:hAnsi="標楷體"/>
          <w:sz w:val="28"/>
          <w:szCs w:val="28"/>
          <w:lang w:eastAsia="zh-TW"/>
        </w:rPr>
        <w:t>)</w:t>
      </w:r>
      <w:r w:rsidR="00C744A8" w:rsidRPr="00015F27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CB0A8A" w:rsidRPr="00015F27">
        <w:rPr>
          <w:rFonts w:ascii="標楷體" w:eastAsia="標楷體" w:hAnsi="標楷體" w:hint="eastAsia"/>
          <w:sz w:val="28"/>
          <w:szCs w:val="28"/>
          <w:lang w:eastAsia="zh-TW"/>
        </w:rPr>
        <w:t>APEC將</w:t>
      </w:r>
      <w:r w:rsidR="007458A3" w:rsidRPr="00015F27">
        <w:rPr>
          <w:rFonts w:ascii="標楷體" w:eastAsia="標楷體" w:hAnsi="標楷體" w:hint="eastAsia"/>
          <w:sz w:val="28"/>
          <w:szCs w:val="28"/>
          <w:lang w:eastAsia="zh-TW"/>
        </w:rPr>
        <w:t>進行</w:t>
      </w:r>
      <w:r w:rsidR="00C401E8" w:rsidRPr="00015F27">
        <w:rPr>
          <w:rFonts w:ascii="標楷體" w:eastAsia="標楷體" w:hAnsi="標楷體" w:hint="eastAsia"/>
          <w:sz w:val="28"/>
          <w:szCs w:val="28"/>
          <w:lang w:eastAsia="zh-TW"/>
        </w:rPr>
        <w:t>實現</w:t>
      </w:r>
      <w:r w:rsidR="00C744A8" w:rsidRPr="00015F27">
        <w:rPr>
          <w:rFonts w:ascii="標楷體" w:eastAsia="標楷體" w:hAnsi="標楷體" w:hint="eastAsia"/>
          <w:sz w:val="28"/>
          <w:szCs w:val="28"/>
          <w:lang w:eastAsia="zh-TW"/>
        </w:rPr>
        <w:t>FTAAP</w:t>
      </w:r>
      <w:r w:rsidR="00CB0A8A" w:rsidRPr="00015F27">
        <w:rPr>
          <w:rFonts w:ascii="標楷體" w:eastAsia="標楷體" w:hAnsi="標楷體" w:hint="eastAsia"/>
          <w:sz w:val="28"/>
          <w:szCs w:val="28"/>
          <w:lang w:eastAsia="zh-TW"/>
        </w:rPr>
        <w:t>相關議題</w:t>
      </w:r>
      <w:r w:rsidR="00C401E8" w:rsidRPr="00015F27">
        <w:rPr>
          <w:rFonts w:ascii="標楷體" w:eastAsia="標楷體" w:hAnsi="標楷體" w:hint="eastAsia"/>
          <w:sz w:val="28"/>
          <w:szCs w:val="28"/>
          <w:lang w:eastAsia="zh-TW"/>
        </w:rPr>
        <w:t>的</w:t>
      </w:r>
      <w:r w:rsidR="001F6D9E" w:rsidRPr="00015F27">
        <w:rPr>
          <w:rFonts w:ascii="標楷體" w:eastAsia="標楷體" w:hAnsi="標楷體" w:hint="eastAsia"/>
          <w:sz w:val="28"/>
          <w:szCs w:val="28"/>
          <w:lang w:eastAsia="zh-TW"/>
        </w:rPr>
        <w:t>共同策略</w:t>
      </w:r>
      <w:r w:rsidR="00C401E8" w:rsidRPr="00015F27">
        <w:rPr>
          <w:rFonts w:ascii="標楷體" w:eastAsia="標楷體" w:hAnsi="標楷體" w:hint="eastAsia"/>
          <w:sz w:val="28"/>
          <w:szCs w:val="28"/>
          <w:lang w:eastAsia="zh-TW"/>
        </w:rPr>
        <w:t>性</w:t>
      </w:r>
      <w:r w:rsidR="00647E4C" w:rsidRPr="00015F27">
        <w:rPr>
          <w:rFonts w:ascii="標楷體" w:eastAsia="標楷體" w:hAnsi="標楷體" w:hint="eastAsia"/>
          <w:sz w:val="28"/>
          <w:szCs w:val="28"/>
          <w:lang w:eastAsia="zh-TW"/>
        </w:rPr>
        <w:t>研究</w:t>
      </w:r>
      <w:r w:rsidR="007F257D" w:rsidRPr="00015F27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EC1AA1" w:rsidRPr="00015F27">
        <w:rPr>
          <w:rFonts w:ascii="標楷體" w:eastAsia="標楷體" w:hAnsi="標楷體" w:hint="eastAsia"/>
          <w:sz w:val="28"/>
          <w:szCs w:val="28"/>
          <w:lang w:eastAsia="zh-TW"/>
        </w:rPr>
        <w:t>以期</w:t>
      </w:r>
      <w:r w:rsidR="006D698A" w:rsidRPr="00015F27">
        <w:rPr>
          <w:rFonts w:ascii="標楷體" w:eastAsia="標楷體" w:hAnsi="標楷體" w:hint="eastAsia"/>
          <w:sz w:val="28"/>
          <w:szCs w:val="28"/>
          <w:lang w:eastAsia="zh-TW"/>
        </w:rPr>
        <w:t>在本區現有的</w:t>
      </w:r>
      <w:r w:rsidR="00103B9F" w:rsidRPr="00015F27">
        <w:rPr>
          <w:rFonts w:ascii="標楷體" w:eastAsia="標楷體" w:hAnsi="標楷體" w:hint="eastAsia"/>
          <w:sz w:val="28"/>
          <w:szCs w:val="28"/>
          <w:lang w:eastAsia="zh-TW"/>
        </w:rPr>
        <w:t>區域</w:t>
      </w:r>
      <w:r w:rsidR="001778ED" w:rsidRPr="00015F27">
        <w:rPr>
          <w:rFonts w:ascii="標楷體" w:eastAsia="標楷體" w:hAnsi="標楷體" w:hint="eastAsia"/>
          <w:sz w:val="28"/>
          <w:szCs w:val="28"/>
          <w:lang w:eastAsia="zh-TW"/>
        </w:rPr>
        <w:t>進程</w:t>
      </w:r>
      <w:r w:rsidR="00EC0AAC" w:rsidRPr="00015F27">
        <w:rPr>
          <w:rFonts w:ascii="標楷體" w:eastAsia="標楷體" w:hAnsi="標楷體" w:hint="eastAsia"/>
          <w:sz w:val="28"/>
          <w:szCs w:val="28"/>
          <w:lang w:eastAsia="zh-TW"/>
        </w:rPr>
        <w:t>盡早</w:t>
      </w:r>
      <w:r w:rsidR="00EC1AA1" w:rsidRPr="00015F27">
        <w:rPr>
          <w:rFonts w:ascii="標楷體" w:eastAsia="標楷體" w:hAnsi="標楷體" w:hint="eastAsia"/>
          <w:sz w:val="28"/>
          <w:szCs w:val="28"/>
          <w:lang w:eastAsia="zh-TW"/>
        </w:rPr>
        <w:t>達成</w:t>
      </w:r>
      <w:r w:rsidR="00EC0AAC" w:rsidRPr="00015F27">
        <w:rPr>
          <w:rFonts w:ascii="標楷體" w:eastAsia="標楷體" w:hAnsi="標楷體" w:hint="eastAsia"/>
          <w:sz w:val="28"/>
          <w:szCs w:val="28"/>
          <w:lang w:eastAsia="zh-TW"/>
        </w:rPr>
        <w:t>建立FTAAP之目標</w:t>
      </w:r>
      <w:r w:rsidR="00721BB1" w:rsidRPr="00015F27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7F2226" w:rsidRPr="00015F27" w:rsidRDefault="006F59E0" w:rsidP="007164C2">
      <w:pPr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藉由落實</w:t>
      </w:r>
      <w:r w:rsidR="007C6261" w:rsidRPr="00015F27">
        <w:rPr>
          <w:rFonts w:ascii="標楷體" w:eastAsia="標楷體" w:hAnsi="標楷體" w:hint="eastAsia"/>
          <w:sz w:val="28"/>
          <w:szCs w:val="28"/>
          <w:lang w:eastAsia="zh-TW"/>
        </w:rPr>
        <w:t>「APEC</w:t>
      </w:r>
      <w:r w:rsidR="00C012A8" w:rsidRPr="00015F27">
        <w:rPr>
          <w:rFonts w:ascii="標楷體" w:eastAsia="標楷體" w:hAnsi="標楷體" w:hint="eastAsia"/>
          <w:sz w:val="28"/>
          <w:szCs w:val="28"/>
          <w:lang w:eastAsia="zh-TW"/>
        </w:rPr>
        <w:t>推動</w:t>
      </w:r>
      <w:r w:rsidR="00E404EC" w:rsidRPr="00015F27">
        <w:rPr>
          <w:rFonts w:ascii="標楷體" w:eastAsia="標楷體" w:hAnsi="標楷體" w:hint="eastAsia"/>
          <w:sz w:val="28"/>
          <w:szCs w:val="28"/>
          <w:lang w:eastAsia="zh-TW"/>
        </w:rPr>
        <w:t>全球價值鏈發展與</w:t>
      </w:r>
      <w:r w:rsidR="007C6261" w:rsidRPr="00015F27">
        <w:rPr>
          <w:rFonts w:ascii="標楷體" w:eastAsia="標楷體" w:hAnsi="標楷體" w:hint="eastAsia"/>
          <w:sz w:val="28"/>
          <w:szCs w:val="28"/>
          <w:lang w:eastAsia="zh-TW"/>
        </w:rPr>
        <w:t>合作策略藍圖」</w:t>
      </w:r>
      <w:r w:rsidR="00687919" w:rsidRPr="00015F2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687919" w:rsidRPr="00015F27">
        <w:rPr>
          <w:rFonts w:ascii="標楷體" w:eastAsia="標楷體" w:hAnsi="標楷體" w:hint="eastAsia"/>
          <w:i/>
          <w:sz w:val="28"/>
          <w:szCs w:val="28"/>
        </w:rPr>
        <w:t>APEC Strategic Blueprint for Promoting GVC Development and Cooperation</w:t>
      </w:r>
      <w:r w:rsidR="00687919" w:rsidRPr="00015F27">
        <w:rPr>
          <w:rFonts w:ascii="標楷體" w:eastAsia="標楷體" w:hAnsi="標楷體" w:hint="eastAsia"/>
          <w:i/>
          <w:sz w:val="28"/>
          <w:szCs w:val="28"/>
          <w:lang w:eastAsia="zh-TW"/>
        </w:rPr>
        <w:t>)</w:t>
      </w:r>
      <w:r w:rsidR="003C0720" w:rsidRPr="00015F27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0C5BFA" w:rsidRPr="00015F27">
        <w:rPr>
          <w:rFonts w:ascii="標楷體" w:eastAsia="標楷體" w:hAnsi="標楷體" w:hint="eastAsia"/>
          <w:sz w:val="28"/>
          <w:szCs w:val="28"/>
          <w:lang w:eastAsia="zh-TW"/>
        </w:rPr>
        <w:t>共同打造</w:t>
      </w:r>
      <w:r w:rsidR="00CB0A8A" w:rsidRPr="00015F27">
        <w:rPr>
          <w:rFonts w:ascii="標楷體" w:eastAsia="標楷體" w:hAnsi="標楷體" w:hint="eastAsia"/>
          <w:sz w:val="28"/>
          <w:szCs w:val="28"/>
          <w:lang w:eastAsia="zh-TW"/>
        </w:rPr>
        <w:t>有助全球價值鏈發展與</w:t>
      </w:r>
      <w:r w:rsidR="00687919" w:rsidRPr="00015F27">
        <w:rPr>
          <w:rFonts w:ascii="標楷體" w:eastAsia="標楷體" w:hAnsi="標楷體" w:hint="eastAsia"/>
          <w:sz w:val="28"/>
          <w:szCs w:val="28"/>
          <w:lang w:eastAsia="zh-TW"/>
        </w:rPr>
        <w:t>合作的有利環境。</w:t>
      </w:r>
    </w:p>
    <w:p w:rsidR="007F2226" w:rsidRPr="00015F27" w:rsidRDefault="00D5461A" w:rsidP="007164C2">
      <w:pPr>
        <w:pStyle w:val="1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落實</w:t>
      </w:r>
      <w:r w:rsidR="000B6AE9" w:rsidRPr="00015F27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r w:rsidR="00BD09C7" w:rsidRPr="00015F27">
        <w:rPr>
          <w:rFonts w:ascii="標楷體" w:eastAsia="標楷體" w:hAnsi="標楷體" w:hint="eastAsia"/>
          <w:sz w:val="28"/>
          <w:szCs w:val="28"/>
          <w:lang w:eastAsia="zh-TW"/>
        </w:rPr>
        <w:t>推動APEC</w:t>
      </w:r>
      <w:r w:rsidR="001617A5">
        <w:rPr>
          <w:rFonts w:ascii="標楷體" w:eastAsia="標楷體" w:hAnsi="標楷體" w:hint="eastAsia"/>
          <w:sz w:val="28"/>
          <w:szCs w:val="28"/>
          <w:lang w:eastAsia="zh-TW"/>
        </w:rPr>
        <w:t>創新發展、經濟改革與成長共識</w:t>
      </w:r>
      <w:r w:rsidR="000B6AE9" w:rsidRPr="00015F27">
        <w:rPr>
          <w:rFonts w:ascii="標楷體" w:eastAsia="標楷體" w:hAnsi="標楷體" w:hint="eastAsia"/>
          <w:sz w:val="28"/>
          <w:szCs w:val="28"/>
          <w:lang w:eastAsia="zh-TW"/>
        </w:rPr>
        <w:t>」</w:t>
      </w:r>
      <w:r w:rsidR="001F2DC2" w:rsidRPr="00015F2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1F2DC2" w:rsidRPr="00015F27">
        <w:rPr>
          <w:rFonts w:ascii="標楷體" w:eastAsia="標楷體" w:hAnsi="標楷體" w:hint="eastAsia"/>
          <w:i/>
          <w:sz w:val="28"/>
          <w:szCs w:val="28"/>
          <w:lang w:eastAsia="zh-TW"/>
        </w:rPr>
        <w:t>APEC</w:t>
      </w:r>
      <w:r w:rsidR="007F2226" w:rsidRPr="00015F27">
        <w:rPr>
          <w:rFonts w:ascii="標楷體" w:eastAsia="標楷體" w:hAnsi="標楷體" w:hint="eastAsia"/>
          <w:i/>
          <w:sz w:val="28"/>
          <w:szCs w:val="28"/>
        </w:rPr>
        <w:t xml:space="preserve"> Accord on Promoting Innovative Development, Economic Reform and Growth</w:t>
      </w:r>
      <w:r w:rsidR="001F2DC2" w:rsidRPr="00015F27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r w:rsidR="00CB0A8A" w:rsidRPr="00015F27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7F2226" w:rsidRPr="00015F27" w:rsidRDefault="00891461" w:rsidP="007164C2">
      <w:pPr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落實</w:t>
      </w:r>
      <w:r w:rsidR="001909AA" w:rsidRPr="00015F27">
        <w:rPr>
          <w:rFonts w:ascii="標楷體" w:eastAsia="標楷體" w:hAnsi="標楷體" w:hint="eastAsia"/>
          <w:sz w:val="28"/>
          <w:szCs w:val="28"/>
          <w:lang w:eastAsia="zh-TW"/>
        </w:rPr>
        <w:t>「</w:t>
      </w:r>
      <w:r w:rsidR="007164C2">
        <w:rPr>
          <w:rFonts w:ascii="標楷體" w:eastAsia="標楷體" w:hAnsi="標楷體" w:hint="eastAsia"/>
          <w:sz w:val="28"/>
          <w:szCs w:val="28"/>
          <w:lang w:eastAsia="zh-TW"/>
        </w:rPr>
        <w:t xml:space="preserve">APEC </w:t>
      </w:r>
      <w:r w:rsidR="001909AA" w:rsidRPr="00015F27">
        <w:rPr>
          <w:rFonts w:ascii="標楷體" w:eastAsia="標楷體" w:hAnsi="標楷體" w:hint="eastAsia"/>
          <w:sz w:val="28"/>
          <w:szCs w:val="28"/>
          <w:lang w:eastAsia="zh-TW"/>
        </w:rPr>
        <w:t>2015-2025連結性藍圖」</w:t>
      </w:r>
      <w:r w:rsidR="00C744A8" w:rsidRPr="00015F27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r w:rsidR="00C744A8" w:rsidRPr="00015F27">
        <w:rPr>
          <w:rFonts w:ascii="標楷體" w:eastAsia="標楷體" w:hAnsi="標楷體" w:hint="eastAsia"/>
          <w:i/>
          <w:sz w:val="28"/>
          <w:szCs w:val="28"/>
        </w:rPr>
        <w:t>APEC Connectivity Blueprint</w:t>
      </w:r>
      <w:r w:rsidR="00C744A8" w:rsidRPr="00015F27">
        <w:rPr>
          <w:rFonts w:ascii="標楷體" w:eastAsia="標楷體" w:hAnsi="標楷體" w:hint="eastAsia"/>
          <w:i/>
          <w:sz w:val="28"/>
          <w:szCs w:val="28"/>
          <w:lang w:eastAsia="zh-TW"/>
        </w:rPr>
        <w:t xml:space="preserve"> for 2015-2025)</w:t>
      </w:r>
      <w:r w:rsidR="00C744A8" w:rsidRPr="00015F27">
        <w:rPr>
          <w:rFonts w:ascii="標楷體" w:eastAsia="標楷體" w:hAnsi="標楷體" w:hint="eastAsia"/>
          <w:sz w:val="28"/>
          <w:szCs w:val="28"/>
          <w:lang w:eastAsia="zh-TW"/>
        </w:rPr>
        <w:t>，並</w:t>
      </w:r>
      <w:r w:rsidR="001A2DFB" w:rsidRPr="00015F27">
        <w:rPr>
          <w:rFonts w:ascii="標楷體" w:eastAsia="標楷體" w:hAnsi="標楷體" w:hint="eastAsia"/>
          <w:sz w:val="28"/>
          <w:szCs w:val="28"/>
          <w:lang w:eastAsia="zh-TW"/>
        </w:rPr>
        <w:t>於2025</w:t>
      </w:r>
      <w:r w:rsidR="001F1B4D" w:rsidRPr="00015F27">
        <w:rPr>
          <w:rFonts w:ascii="標楷體" w:eastAsia="標楷體" w:hAnsi="標楷體" w:hint="eastAsia"/>
          <w:sz w:val="28"/>
          <w:szCs w:val="28"/>
          <w:lang w:eastAsia="zh-TW"/>
        </w:rPr>
        <w:t>年前藉由</w:t>
      </w:r>
      <w:r w:rsidR="00857F2A" w:rsidRPr="00015F27">
        <w:rPr>
          <w:rFonts w:ascii="標楷體" w:eastAsia="標楷體" w:hAnsi="標楷體" w:hint="eastAsia"/>
          <w:sz w:val="28"/>
          <w:szCs w:val="28"/>
          <w:lang w:eastAsia="zh-TW"/>
        </w:rPr>
        <w:t>共同</w:t>
      </w:r>
      <w:r w:rsidR="00E14E80" w:rsidRPr="00015F27">
        <w:rPr>
          <w:rFonts w:ascii="標楷體" w:eastAsia="標楷體" w:hAnsi="標楷體" w:hint="eastAsia"/>
          <w:sz w:val="28"/>
          <w:szCs w:val="28"/>
          <w:lang w:eastAsia="zh-TW"/>
        </w:rPr>
        <w:t>行動</w:t>
      </w:r>
      <w:r w:rsidR="00857F2A" w:rsidRPr="00015F27">
        <w:rPr>
          <w:rFonts w:ascii="標楷體" w:eastAsia="標楷體" w:hAnsi="標楷體" w:hint="eastAsia"/>
          <w:sz w:val="28"/>
          <w:szCs w:val="28"/>
          <w:lang w:eastAsia="zh-TW"/>
        </w:rPr>
        <w:t>達成一致</w:t>
      </w:r>
      <w:r w:rsidR="00205C65" w:rsidRPr="00015F27">
        <w:rPr>
          <w:rFonts w:ascii="標楷體" w:eastAsia="標楷體" w:hAnsi="標楷體" w:hint="eastAsia"/>
          <w:sz w:val="28"/>
          <w:szCs w:val="28"/>
          <w:lang w:eastAsia="zh-TW"/>
        </w:rPr>
        <w:t>目標</w:t>
      </w:r>
      <w:r w:rsidR="00857F2A" w:rsidRPr="00015F27">
        <w:rPr>
          <w:rFonts w:ascii="標楷體" w:eastAsia="標楷體" w:hAnsi="標楷體" w:hint="eastAsia"/>
          <w:sz w:val="28"/>
          <w:szCs w:val="28"/>
          <w:lang w:eastAsia="zh-TW"/>
        </w:rPr>
        <w:t>，實現</w:t>
      </w:r>
      <w:r w:rsidR="001F1B4D" w:rsidRPr="00015F27">
        <w:rPr>
          <w:rFonts w:ascii="標楷體" w:eastAsia="標楷體" w:hAnsi="標楷體" w:hint="eastAsia"/>
          <w:sz w:val="28"/>
          <w:szCs w:val="28"/>
          <w:lang w:eastAsia="zh-TW"/>
        </w:rPr>
        <w:t>實體、</w:t>
      </w:r>
      <w:r w:rsidR="005C4C70" w:rsidRPr="00015F27">
        <w:rPr>
          <w:rFonts w:ascii="標楷體" w:eastAsia="標楷體" w:hAnsi="標楷體" w:hint="eastAsia"/>
          <w:sz w:val="28"/>
          <w:szCs w:val="28"/>
          <w:lang w:eastAsia="zh-TW"/>
        </w:rPr>
        <w:t>制度</w:t>
      </w:r>
      <w:r w:rsidR="00B14D39" w:rsidRPr="00015F27">
        <w:rPr>
          <w:rFonts w:ascii="標楷體" w:eastAsia="標楷體" w:hAnsi="標楷體" w:hint="eastAsia"/>
          <w:sz w:val="28"/>
          <w:szCs w:val="28"/>
          <w:lang w:eastAsia="zh-TW"/>
        </w:rPr>
        <w:t>、以及</w:t>
      </w:r>
      <w:r w:rsidR="007164C2">
        <w:rPr>
          <w:rFonts w:ascii="標楷體" w:eastAsia="標楷體" w:hAnsi="標楷體" w:hint="eastAsia"/>
          <w:sz w:val="28"/>
          <w:szCs w:val="28"/>
          <w:lang w:eastAsia="zh-TW"/>
        </w:rPr>
        <w:t>人與人</w:t>
      </w:r>
      <w:r w:rsidR="001F1B4D" w:rsidRPr="00015F27">
        <w:rPr>
          <w:rFonts w:ascii="標楷體" w:eastAsia="標楷體" w:hAnsi="標楷體" w:hint="eastAsia"/>
          <w:sz w:val="28"/>
          <w:szCs w:val="28"/>
          <w:lang w:eastAsia="zh-TW"/>
        </w:rPr>
        <w:t>連結的</w:t>
      </w:r>
      <w:r w:rsidR="004B6E0C" w:rsidRPr="00015F27">
        <w:rPr>
          <w:rFonts w:ascii="標楷體" w:eastAsia="標楷體" w:hAnsi="標楷體" w:hint="eastAsia"/>
          <w:sz w:val="28"/>
          <w:szCs w:val="28"/>
          <w:lang w:eastAsia="zh-TW"/>
        </w:rPr>
        <w:t>總</w:t>
      </w:r>
      <w:r w:rsidR="00B14D39" w:rsidRPr="00015F27">
        <w:rPr>
          <w:rFonts w:ascii="標楷體" w:eastAsia="標楷體" w:hAnsi="標楷體" w:hint="eastAsia"/>
          <w:sz w:val="28"/>
          <w:szCs w:val="28"/>
          <w:lang w:eastAsia="zh-TW"/>
        </w:rPr>
        <w:t>體</w:t>
      </w:r>
      <w:r w:rsidR="00C744A8" w:rsidRPr="00015F27">
        <w:rPr>
          <w:rFonts w:ascii="標楷體" w:eastAsia="標楷體" w:hAnsi="標楷體" w:hint="eastAsia"/>
          <w:sz w:val="28"/>
          <w:szCs w:val="28"/>
          <w:lang w:eastAsia="zh-TW"/>
        </w:rPr>
        <w:t>目</w:t>
      </w:r>
      <w:r w:rsidR="00E14E80" w:rsidRPr="00015F27">
        <w:rPr>
          <w:rFonts w:ascii="標楷體" w:eastAsia="標楷體" w:hAnsi="標楷體" w:hint="eastAsia"/>
          <w:sz w:val="28"/>
          <w:szCs w:val="28"/>
          <w:lang w:eastAsia="zh-TW"/>
        </w:rPr>
        <w:t>標</w:t>
      </w:r>
      <w:r w:rsidR="001A2DFB" w:rsidRPr="00015F27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4B6E0C" w:rsidRPr="00015F27">
        <w:rPr>
          <w:rFonts w:ascii="標楷體" w:eastAsia="標楷體" w:hAnsi="標楷體" w:hint="eastAsia"/>
          <w:sz w:val="28"/>
          <w:szCs w:val="28"/>
          <w:lang w:eastAsia="zh-TW"/>
        </w:rPr>
        <w:t>邁向</w:t>
      </w:r>
      <w:r w:rsidR="00FA3BFC" w:rsidRPr="00015F27">
        <w:rPr>
          <w:rFonts w:ascii="標楷體" w:eastAsia="標楷體" w:hAnsi="標楷體" w:hint="eastAsia"/>
          <w:sz w:val="28"/>
          <w:szCs w:val="28"/>
          <w:lang w:eastAsia="zh-TW"/>
        </w:rPr>
        <w:t>一個無縫</w:t>
      </w:r>
      <w:r w:rsidR="005A5248" w:rsidRPr="00015F27">
        <w:rPr>
          <w:rFonts w:ascii="標楷體" w:eastAsia="標楷體" w:hAnsi="標楷體" w:hint="eastAsia"/>
          <w:sz w:val="28"/>
          <w:szCs w:val="28"/>
          <w:lang w:eastAsia="zh-TW"/>
        </w:rPr>
        <w:t>接軌</w:t>
      </w:r>
      <w:r w:rsidR="00FA3BFC" w:rsidRPr="00015F2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5A5248" w:rsidRPr="00015F27">
        <w:rPr>
          <w:rFonts w:ascii="標楷體" w:eastAsia="標楷體" w:hAnsi="標楷體" w:hint="eastAsia"/>
          <w:sz w:val="28"/>
          <w:szCs w:val="28"/>
          <w:lang w:eastAsia="zh-TW"/>
        </w:rPr>
        <w:t>全面連結、</w:t>
      </w:r>
      <w:r w:rsidR="00EE612D" w:rsidRPr="00015F27">
        <w:rPr>
          <w:rFonts w:ascii="標楷體" w:eastAsia="標楷體" w:hAnsi="標楷體" w:hint="eastAsia"/>
          <w:sz w:val="28"/>
          <w:szCs w:val="28"/>
          <w:lang w:eastAsia="zh-TW"/>
        </w:rPr>
        <w:t>以及</w:t>
      </w:r>
      <w:r w:rsidR="00FA3BFC" w:rsidRPr="00015F27">
        <w:rPr>
          <w:rFonts w:ascii="標楷體" w:eastAsia="標楷體" w:hAnsi="標楷體" w:hint="eastAsia"/>
          <w:sz w:val="28"/>
          <w:szCs w:val="28"/>
          <w:lang w:eastAsia="zh-TW"/>
        </w:rPr>
        <w:t>整合的</w:t>
      </w:r>
      <w:r w:rsidR="005A5248" w:rsidRPr="00015F27">
        <w:rPr>
          <w:rFonts w:ascii="標楷體" w:eastAsia="標楷體" w:hAnsi="標楷體" w:hint="eastAsia"/>
          <w:sz w:val="28"/>
          <w:szCs w:val="28"/>
          <w:lang w:eastAsia="zh-TW"/>
        </w:rPr>
        <w:t>亞太區域</w:t>
      </w:r>
      <w:r w:rsidR="00E14E80" w:rsidRPr="00015F27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7F2226" w:rsidRPr="00015F27" w:rsidRDefault="007F2226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F2226" w:rsidRPr="00015F27" w:rsidRDefault="00E45AC5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我們決心</w:t>
      </w:r>
      <w:r w:rsidR="00807862" w:rsidRPr="00015F27">
        <w:rPr>
          <w:rFonts w:ascii="標楷體" w:eastAsia="標楷體" w:hAnsi="標楷體" w:hint="eastAsia"/>
          <w:sz w:val="28"/>
          <w:szCs w:val="28"/>
          <w:lang w:eastAsia="zh-TW"/>
        </w:rPr>
        <w:t>共同探索</w:t>
      </w:r>
      <w:r w:rsidR="00490BFA" w:rsidRPr="00015F27">
        <w:rPr>
          <w:rFonts w:ascii="標楷體" w:eastAsia="標楷體" w:hAnsi="標楷體" w:hint="eastAsia"/>
          <w:sz w:val="28"/>
          <w:szCs w:val="28"/>
          <w:lang w:eastAsia="zh-TW"/>
        </w:rPr>
        <w:t>適合各</w:t>
      </w:r>
      <w:r w:rsidR="00A023AF" w:rsidRPr="00015F27">
        <w:rPr>
          <w:rFonts w:ascii="標楷體" w:eastAsia="標楷體" w:hAnsi="標楷體" w:hint="eastAsia"/>
          <w:sz w:val="28"/>
          <w:szCs w:val="28"/>
          <w:lang w:eastAsia="zh-TW"/>
        </w:rPr>
        <w:t>經濟體</w:t>
      </w:r>
      <w:r w:rsidR="009C41E0" w:rsidRPr="00015F27">
        <w:rPr>
          <w:rFonts w:ascii="標楷體" w:eastAsia="標楷體" w:hAnsi="標楷體" w:hint="eastAsia"/>
          <w:sz w:val="28"/>
          <w:szCs w:val="28"/>
          <w:lang w:eastAsia="zh-TW"/>
        </w:rPr>
        <w:t>個別環境的</w:t>
      </w:r>
      <w:r w:rsidR="00490BFA" w:rsidRPr="00015F27">
        <w:rPr>
          <w:rFonts w:ascii="標楷體" w:eastAsia="標楷體" w:hAnsi="標楷體" w:hint="eastAsia"/>
          <w:sz w:val="28"/>
          <w:szCs w:val="28"/>
          <w:lang w:eastAsia="zh-TW"/>
        </w:rPr>
        <w:t>發展路徑與模式</w:t>
      </w:r>
      <w:r w:rsidR="0081381D" w:rsidRPr="00015F27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4078C6" w:rsidRPr="00015F27">
        <w:rPr>
          <w:rFonts w:ascii="標楷體" w:eastAsia="標楷體" w:hAnsi="標楷體" w:hint="eastAsia"/>
          <w:sz w:val="28"/>
          <w:szCs w:val="28"/>
          <w:lang w:eastAsia="zh-TW"/>
        </w:rPr>
        <w:t>我們</w:t>
      </w:r>
      <w:r w:rsidR="000A4E1E" w:rsidRPr="00015F27">
        <w:rPr>
          <w:rFonts w:ascii="標楷體" w:eastAsia="標楷體" w:hAnsi="標楷體" w:hint="eastAsia"/>
          <w:sz w:val="28"/>
          <w:szCs w:val="28"/>
          <w:lang w:eastAsia="zh-TW"/>
        </w:rPr>
        <w:t>將</w:t>
      </w:r>
      <w:r w:rsidR="00042013" w:rsidRPr="00015F27">
        <w:rPr>
          <w:rFonts w:ascii="標楷體" w:eastAsia="標楷體" w:hAnsi="標楷體" w:hint="eastAsia"/>
          <w:sz w:val="28"/>
          <w:szCs w:val="28"/>
          <w:lang w:eastAsia="zh-TW"/>
        </w:rPr>
        <w:t>強化</w:t>
      </w:r>
      <w:r w:rsidR="0068661F" w:rsidRPr="00015F27">
        <w:rPr>
          <w:rFonts w:ascii="標楷體" w:eastAsia="標楷體" w:hAnsi="標楷體" w:hint="eastAsia"/>
          <w:sz w:val="28"/>
          <w:szCs w:val="28"/>
          <w:lang w:eastAsia="zh-TW"/>
        </w:rPr>
        <w:t>政策</w:t>
      </w:r>
      <w:r w:rsidR="00042013" w:rsidRPr="00015F27">
        <w:rPr>
          <w:rFonts w:ascii="標楷體" w:eastAsia="標楷體" w:hAnsi="標楷體" w:hint="eastAsia"/>
          <w:sz w:val="28"/>
          <w:szCs w:val="28"/>
          <w:lang w:eastAsia="zh-TW"/>
        </w:rPr>
        <w:t>協調</w:t>
      </w:r>
      <w:r w:rsidR="000A4E1E" w:rsidRPr="00015F27">
        <w:rPr>
          <w:rFonts w:ascii="標楷體" w:eastAsia="標楷體" w:hAnsi="標楷體" w:hint="eastAsia"/>
          <w:sz w:val="28"/>
          <w:szCs w:val="28"/>
          <w:lang w:eastAsia="zh-TW"/>
        </w:rPr>
        <w:t>、</w:t>
      </w:r>
      <w:r w:rsidR="007B176E" w:rsidRPr="00015F27">
        <w:rPr>
          <w:rFonts w:ascii="標楷體" w:eastAsia="標楷體" w:hAnsi="標楷體" w:hint="eastAsia"/>
          <w:sz w:val="28"/>
          <w:szCs w:val="28"/>
          <w:lang w:eastAsia="zh-TW"/>
        </w:rPr>
        <w:t>經驗的交流與</w:t>
      </w:r>
      <w:r w:rsidR="00233B82" w:rsidRPr="00015F27">
        <w:rPr>
          <w:rFonts w:ascii="標楷體" w:eastAsia="標楷體" w:hAnsi="標楷體" w:hint="eastAsia"/>
          <w:sz w:val="28"/>
          <w:szCs w:val="28"/>
          <w:lang w:eastAsia="zh-TW"/>
        </w:rPr>
        <w:t>學習，</w:t>
      </w:r>
      <w:r w:rsidR="00D26BE0" w:rsidRPr="00015F27">
        <w:rPr>
          <w:rFonts w:ascii="標楷體" w:eastAsia="標楷體" w:hAnsi="標楷體" w:hint="eastAsia"/>
          <w:sz w:val="28"/>
          <w:szCs w:val="28"/>
          <w:lang w:eastAsia="zh-TW"/>
        </w:rPr>
        <w:t>以</w:t>
      </w:r>
      <w:r w:rsidR="0008446F" w:rsidRPr="00015F27">
        <w:rPr>
          <w:rFonts w:ascii="標楷體" w:eastAsia="標楷體" w:hAnsi="標楷體" w:hint="eastAsia"/>
          <w:sz w:val="28"/>
          <w:szCs w:val="28"/>
          <w:lang w:eastAsia="zh-TW"/>
        </w:rPr>
        <w:t>塑</w:t>
      </w:r>
      <w:r w:rsidR="007B176E" w:rsidRPr="00015F27">
        <w:rPr>
          <w:rFonts w:ascii="標楷體" w:eastAsia="標楷體" w:hAnsi="標楷體" w:hint="eastAsia"/>
          <w:sz w:val="28"/>
          <w:szCs w:val="28"/>
          <w:lang w:eastAsia="zh-TW"/>
        </w:rPr>
        <w:t>造一個促進所有經濟體多元</w:t>
      </w:r>
      <w:r w:rsidR="00233B82" w:rsidRPr="00015F27">
        <w:rPr>
          <w:rFonts w:ascii="標楷體" w:eastAsia="標楷體" w:hAnsi="標楷體" w:hint="eastAsia"/>
          <w:sz w:val="28"/>
          <w:szCs w:val="28"/>
          <w:lang w:eastAsia="zh-TW"/>
        </w:rPr>
        <w:t>與共同發展</w:t>
      </w:r>
      <w:r w:rsidR="00D26BE0" w:rsidRPr="00015F27">
        <w:rPr>
          <w:rFonts w:ascii="標楷體" w:eastAsia="標楷體" w:hAnsi="標楷體" w:hint="eastAsia"/>
          <w:sz w:val="28"/>
          <w:szCs w:val="28"/>
          <w:lang w:eastAsia="zh-TW"/>
        </w:rPr>
        <w:t>的有利環境</w:t>
      </w:r>
      <w:r w:rsidR="00233B82" w:rsidRPr="00015F27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7F2226" w:rsidRPr="00015F27" w:rsidRDefault="003229DF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Fonts w:ascii="標楷體" w:eastAsia="標楷體" w:hAnsi="標楷體" w:hint="eastAsia"/>
          <w:sz w:val="28"/>
          <w:szCs w:val="28"/>
          <w:lang w:eastAsia="zh-TW"/>
        </w:rPr>
        <w:t>我們承諾</w:t>
      </w:r>
      <w:r w:rsidR="00A259A7" w:rsidRPr="00015F27">
        <w:rPr>
          <w:rFonts w:ascii="標楷體" w:eastAsia="標楷體" w:hAnsi="標楷體" w:hint="eastAsia"/>
          <w:sz w:val="28"/>
          <w:szCs w:val="28"/>
          <w:lang w:eastAsia="zh-TW"/>
        </w:rPr>
        <w:t>透過</w:t>
      </w:r>
      <w:r w:rsidR="00B24E2A" w:rsidRPr="00015F27">
        <w:rPr>
          <w:rFonts w:ascii="標楷體" w:eastAsia="標楷體" w:hAnsi="標楷體" w:hint="eastAsia"/>
          <w:sz w:val="28"/>
          <w:szCs w:val="28"/>
          <w:lang w:eastAsia="zh-TW"/>
        </w:rPr>
        <w:t>更</w:t>
      </w:r>
      <w:r w:rsidR="00A259A7" w:rsidRPr="00015F27">
        <w:rPr>
          <w:rFonts w:ascii="標楷體" w:eastAsia="標楷體" w:hAnsi="標楷體" w:hint="eastAsia"/>
          <w:sz w:val="28"/>
          <w:szCs w:val="28"/>
          <w:lang w:eastAsia="zh-TW"/>
        </w:rPr>
        <w:t>緊密</w:t>
      </w:r>
      <w:r w:rsidR="00B24E2A" w:rsidRPr="00015F27">
        <w:rPr>
          <w:rFonts w:ascii="標楷體" w:eastAsia="標楷體" w:hAnsi="標楷體" w:hint="eastAsia"/>
          <w:sz w:val="28"/>
          <w:szCs w:val="28"/>
          <w:lang w:eastAsia="zh-TW"/>
        </w:rPr>
        <w:t>務</w:t>
      </w:r>
      <w:r w:rsidR="00676B86" w:rsidRPr="00015F27">
        <w:rPr>
          <w:rFonts w:ascii="標楷體" w:eastAsia="標楷體" w:hAnsi="標楷體" w:hint="eastAsia"/>
          <w:sz w:val="28"/>
          <w:szCs w:val="28"/>
          <w:lang w:eastAsia="zh-TW"/>
        </w:rPr>
        <w:t>實</w:t>
      </w:r>
      <w:r w:rsidR="00B24E2A" w:rsidRPr="00015F27">
        <w:rPr>
          <w:rFonts w:ascii="標楷體" w:eastAsia="標楷體" w:hAnsi="標楷體" w:hint="eastAsia"/>
          <w:sz w:val="28"/>
          <w:szCs w:val="28"/>
          <w:lang w:eastAsia="zh-TW"/>
        </w:rPr>
        <w:t>的</w:t>
      </w:r>
      <w:r w:rsidR="00676B86" w:rsidRPr="00015F27">
        <w:rPr>
          <w:rFonts w:ascii="標楷體" w:eastAsia="標楷體" w:hAnsi="標楷體" w:hint="eastAsia"/>
          <w:sz w:val="28"/>
          <w:szCs w:val="28"/>
          <w:lang w:eastAsia="zh-TW"/>
        </w:rPr>
        <w:t>合作</w:t>
      </w:r>
      <w:r w:rsidR="009B7265" w:rsidRPr="00015F27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F608FB" w:rsidRPr="00015F27">
        <w:rPr>
          <w:rFonts w:ascii="標楷體" w:eastAsia="標楷體" w:hAnsi="標楷體" w:hint="eastAsia"/>
          <w:sz w:val="28"/>
          <w:szCs w:val="28"/>
          <w:lang w:eastAsia="zh-TW"/>
        </w:rPr>
        <w:t>促成綠色與永續發展，</w:t>
      </w:r>
      <w:r w:rsidR="004C4382" w:rsidRPr="00015F27">
        <w:rPr>
          <w:rFonts w:ascii="標楷體" w:eastAsia="標楷體" w:hAnsi="標楷體" w:hint="eastAsia"/>
          <w:sz w:val="28"/>
          <w:szCs w:val="28"/>
          <w:lang w:eastAsia="zh-TW"/>
        </w:rPr>
        <w:t>面對</w:t>
      </w:r>
      <w:r w:rsidR="000D7321" w:rsidRPr="00015F27">
        <w:rPr>
          <w:rFonts w:ascii="標楷體" w:eastAsia="標楷體" w:hAnsi="標楷體" w:hint="eastAsia"/>
          <w:sz w:val="28"/>
          <w:szCs w:val="28"/>
          <w:lang w:eastAsia="zh-TW"/>
        </w:rPr>
        <w:t>各種</w:t>
      </w:r>
      <w:r w:rsidR="007425E7" w:rsidRPr="00015F27">
        <w:rPr>
          <w:rFonts w:ascii="標楷體" w:eastAsia="標楷體" w:hAnsi="標楷體" w:hint="eastAsia"/>
          <w:sz w:val="28"/>
          <w:szCs w:val="28"/>
          <w:lang w:eastAsia="zh-TW"/>
        </w:rPr>
        <w:t>環境挑戰。</w:t>
      </w:r>
      <w:r w:rsidR="007F2226" w:rsidRPr="00015F27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:rsidR="007F2226" w:rsidRPr="00015F27" w:rsidRDefault="007F2226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7F2226" w:rsidRPr="00015F27" w:rsidRDefault="00CB3D5B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我們承諾透過務實合</w:t>
      </w:r>
      <w:r w:rsidR="00A875BF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作與相互</w:t>
      </w:r>
      <w:r w:rsidR="005A2227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協</w:t>
      </w:r>
      <w:r w:rsidR="00A875BF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助</w:t>
      </w:r>
      <w:r w:rsidR="00D66D74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，縮減</w:t>
      </w:r>
      <w:r w:rsidR="00D246DB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發展</w:t>
      </w: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差距，</w:t>
      </w:r>
      <w:r w:rsidR="00D246DB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達到</w:t>
      </w: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共同發展</w:t>
      </w:r>
      <w:r w:rsidR="00403757" w:rsidRPr="00015F27">
        <w:rPr>
          <w:rFonts w:ascii="標楷體" w:eastAsia="標楷體" w:hAnsi="標楷體" w:hint="eastAsia"/>
          <w:sz w:val="28"/>
          <w:szCs w:val="28"/>
          <w:lang w:eastAsia="zh-TW"/>
        </w:rPr>
        <w:t>。</w:t>
      </w:r>
      <w:r w:rsidR="007F2226" w:rsidRPr="00015F27">
        <w:rPr>
          <w:rFonts w:ascii="標楷體" w:eastAsia="標楷體" w:hAnsi="標楷體" w:hint="eastAsia"/>
          <w:sz w:val="28"/>
          <w:szCs w:val="28"/>
          <w:lang w:eastAsia="zh-TW"/>
        </w:rPr>
        <w:t xml:space="preserve"> </w:t>
      </w:r>
    </w:p>
    <w:p w:rsidR="007F2226" w:rsidRPr="00015F27" w:rsidRDefault="007F2226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734228" w:rsidRDefault="00F814AB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Style w:val="dash51676587char1"/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lastRenderedPageBreak/>
        <w:t>我們重申支持</w:t>
      </w:r>
      <w:r w:rsidR="00B322F1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推動</w:t>
      </w:r>
      <w:r w:rsidRPr="00015F27">
        <w:rPr>
          <w:rStyle w:val="dash51676587char1"/>
          <w:rFonts w:ascii="標楷體" w:eastAsia="標楷體" w:hAnsi="標楷體"/>
          <w:sz w:val="28"/>
          <w:szCs w:val="28"/>
          <w:lang w:eastAsia="zh-TW"/>
        </w:rPr>
        <w:t>APEC</w:t>
      </w:r>
      <w:r w:rsidR="003030ED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改革，</w:t>
      </w:r>
      <w:r w:rsidR="00D02C47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以改善組織與制度</w:t>
      </w:r>
      <w:r w:rsidR="000E2ACE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。我們將</w:t>
      </w:r>
      <w:r w:rsidR="00F04EB6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敦促</w:t>
      </w:r>
      <w:r w:rsidRPr="00015F27">
        <w:rPr>
          <w:rStyle w:val="dash51676587char1"/>
          <w:rFonts w:ascii="標楷體" w:eastAsia="標楷體" w:hAnsi="標楷體"/>
          <w:sz w:val="28"/>
          <w:szCs w:val="28"/>
          <w:lang w:eastAsia="zh-TW"/>
        </w:rPr>
        <w:t>APEC</w:t>
      </w:r>
      <w:r w:rsidR="00074218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與</w:t>
      </w:r>
      <w:r w:rsidR="00025280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其它區域</w:t>
      </w:r>
      <w:r w:rsidR="0055179C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國際論壇</w:t>
      </w:r>
      <w:r w:rsidR="002C0A62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與</w:t>
      </w: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進程</w:t>
      </w:r>
      <w:r w:rsidR="00F04EB6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互補合作</w:t>
      </w:r>
      <w:r w:rsidR="00074218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，</w:t>
      </w:r>
      <w:r w:rsidR="002C0A62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並</w:t>
      </w:r>
      <w:r w:rsidR="00074218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創造</w:t>
      </w:r>
      <w:r w:rsidR="002C0A62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綜效</w:t>
      </w:r>
      <w:r w:rsidR="000E2ACE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。</w:t>
      </w: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透過</w:t>
      </w:r>
      <w:r w:rsidR="00B322F1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推動組織運作</w:t>
      </w:r>
      <w:r w:rsidR="003030ED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、</w:t>
      </w:r>
      <w:r w:rsidR="00B322F1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議題合作</w:t>
      </w:r>
      <w:r w:rsidR="003030ED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、以及貿易與</w:t>
      </w:r>
      <w:r w:rsidR="00025280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投資</w:t>
      </w: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三個工作主軸</w:t>
      </w:r>
      <w:r w:rsidR="003030ED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，</w:t>
      </w:r>
      <w:r w:rsidR="00B322F1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以</w:t>
      </w:r>
      <w:r w:rsidR="009F6833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有效地掌握機會，</w:t>
      </w:r>
      <w:r w:rsidR="00F04EB6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解決複雜的</w:t>
      </w:r>
      <w:r w:rsidR="007B5178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跨境挑戰。這些工作</w:t>
      </w:r>
      <w:r w:rsidR="009F6833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將</w:t>
      </w:r>
      <w:r w:rsidR="0098022D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有助於推進</w:t>
      </w:r>
      <w:r w:rsidR="009F6833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區域經濟整合與</w:t>
      </w:r>
      <w:r w:rsidR="009150CB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全球經濟治理</w:t>
      </w: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503055" w:rsidRPr="00015F27" w:rsidRDefault="00503055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7F2226" w:rsidRDefault="00ED7FBF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Style w:val="dash51676587char1"/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我們支持</w:t>
      </w:r>
      <w:r w:rsidR="009F2CD4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利益</w:t>
      </w:r>
      <w:r w:rsidR="00A93E37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相關者</w:t>
      </w:r>
      <w:r w:rsidR="00734228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參與</w:t>
      </w:r>
      <w:r w:rsidR="00734228" w:rsidRPr="00015F27">
        <w:rPr>
          <w:rStyle w:val="dash51676587char1"/>
          <w:rFonts w:ascii="標楷體" w:eastAsia="標楷體" w:hAnsi="標楷體"/>
          <w:sz w:val="28"/>
          <w:szCs w:val="28"/>
          <w:lang w:eastAsia="zh-TW"/>
        </w:rPr>
        <w:t>APEC</w:t>
      </w: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合作，俾使合作成果可使亞太區域更多人口受惠。</w:t>
      </w:r>
      <w:r w:rsidR="00734228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我們歡迎</w:t>
      </w:r>
      <w:r w:rsidR="00734228" w:rsidRPr="00015F27">
        <w:rPr>
          <w:rStyle w:val="dash51676587char1"/>
          <w:rFonts w:ascii="標楷體" w:eastAsia="標楷體" w:hAnsi="標楷體"/>
          <w:sz w:val="28"/>
          <w:szCs w:val="28"/>
          <w:lang w:eastAsia="zh-TW"/>
        </w:rPr>
        <w:t>ABAC</w:t>
      </w: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及其他私部門代表積極參與此過程。我們</w:t>
      </w:r>
      <w:r w:rsidR="009A18AE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承諾與企業界</w:t>
      </w:r>
      <w:r w:rsidR="00734228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建立更密切與更廣泛的互動關係。</w:t>
      </w:r>
    </w:p>
    <w:p w:rsidR="00503055" w:rsidRPr="00015F27" w:rsidRDefault="00503055" w:rsidP="007164C2">
      <w:pPr>
        <w:widowControl/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</w:p>
    <w:p w:rsidR="000957DF" w:rsidRPr="00015F27" w:rsidRDefault="004D631A" w:rsidP="007164C2">
      <w:pPr>
        <w:widowControl/>
        <w:numPr>
          <w:ilvl w:val="0"/>
          <w:numId w:val="1"/>
        </w:numPr>
        <w:tabs>
          <w:tab w:val="left" w:pos="425"/>
        </w:tabs>
        <w:spacing w:line="400" w:lineRule="exact"/>
        <w:rPr>
          <w:rStyle w:val="dash51676587char1"/>
          <w:rFonts w:ascii="標楷體" w:eastAsia="標楷體" w:hAnsi="標楷體"/>
          <w:sz w:val="28"/>
          <w:szCs w:val="28"/>
          <w:lang w:eastAsia="zh-TW"/>
        </w:rPr>
      </w:pP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我們相信透過這些努力，</w:t>
      </w:r>
      <w:r w:rsidR="00BD624E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亞太區域將迎向</w:t>
      </w: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更光明的未來。本區域將享有</w:t>
      </w:r>
      <w:r w:rsidR="00BD624E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更高</w:t>
      </w: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度的經濟整合</w:t>
      </w:r>
      <w:r w:rsidR="00D643F7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、</w:t>
      </w:r>
      <w:r w:rsidR="00CD14BE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更有效</w:t>
      </w:r>
      <w:r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率的政策協調</w:t>
      </w:r>
      <w:r w:rsidR="00D643F7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、</w:t>
      </w:r>
      <w:r w:rsidR="00D23376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更</w:t>
      </w:r>
      <w:r w:rsidR="0054335C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積極</w:t>
      </w:r>
      <w:r w:rsidR="00D23376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的經濟與技術合作</w:t>
      </w:r>
      <w:r w:rsidR="00D643F7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、</w:t>
      </w:r>
      <w:r w:rsidR="007543AD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更</w:t>
      </w:r>
      <w:r w:rsidR="00201532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堅實</w:t>
      </w:r>
      <w:r w:rsidR="007543AD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的區域連結</w:t>
      </w:r>
      <w:r w:rsidR="002D0D1C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，</w:t>
      </w:r>
      <w:r w:rsidR="00653DA7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並與世界其他區域更緊密的關係</w:t>
      </w:r>
      <w:r w:rsidR="00826F87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。</w:t>
      </w:r>
      <w:r w:rsidR="00131106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我們</w:t>
      </w:r>
      <w:r w:rsidR="00253EEA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堅定的</w:t>
      </w:r>
      <w:r w:rsidR="00131106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承諾將</w:t>
      </w:r>
      <w:r w:rsidR="00253EEA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確保</w:t>
      </w:r>
      <w:r w:rsidR="00131106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亞太區域的和平、穩定、以及繁榮。</w:t>
      </w:r>
      <w:r w:rsidR="00067A8F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展望</w:t>
      </w:r>
      <w:r w:rsidR="00253EEA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APEC合作的另一個</w:t>
      </w:r>
      <w:r w:rsidR="00067A8F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25年，</w:t>
      </w:r>
      <w:r w:rsidR="00FD2B33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我們承諾</w:t>
      </w:r>
      <w:r w:rsidR="00067A8F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將</w:t>
      </w:r>
      <w:r w:rsidR="00253EEA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努力不懈，</w:t>
      </w:r>
      <w:r w:rsidR="00314313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實現</w:t>
      </w:r>
      <w:r w:rsidR="000957DF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共同發展、繁榮與進步的</w:t>
      </w:r>
      <w:r w:rsidR="00253EEA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亞太夢</w:t>
      </w:r>
      <w:r w:rsidR="000957DF" w:rsidRPr="00015F27">
        <w:rPr>
          <w:rStyle w:val="dash51676587char1"/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7F2226" w:rsidRPr="00424CBD" w:rsidRDefault="007F2226" w:rsidP="007164C2">
      <w:pPr>
        <w:widowControl/>
        <w:spacing w:line="400" w:lineRule="exact"/>
        <w:ind w:left="425"/>
        <w:rPr>
          <w:rFonts w:ascii="標楷體" w:eastAsia="標楷體" w:hAnsi="標楷體"/>
          <w:sz w:val="28"/>
          <w:szCs w:val="28"/>
          <w:lang w:eastAsia="zh-TW"/>
        </w:rPr>
      </w:pPr>
    </w:p>
    <w:sectPr w:rsidR="007F2226" w:rsidRPr="00424CBD" w:rsidSect="00F9560C">
      <w:footerReference w:type="even" r:id="rId7"/>
      <w:footerReference w:type="default" r:id="rId8"/>
      <w:pgSz w:w="11906" w:h="16838"/>
      <w:pgMar w:top="1440" w:right="1080" w:bottom="1440" w:left="15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61" w:rsidRDefault="00F55261">
      <w:r>
        <w:separator/>
      </w:r>
    </w:p>
  </w:endnote>
  <w:endnote w:type="continuationSeparator" w:id="0">
    <w:p w:rsidR="00F55261" w:rsidRDefault="00F5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34" w:rsidRDefault="0090421A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592934">
      <w:rPr>
        <w:rStyle w:val="a4"/>
      </w:rPr>
      <w:instrText xml:space="preserve">PAGE  </w:instrText>
    </w:r>
    <w:r>
      <w:fldChar w:fldCharType="separate"/>
    </w:r>
    <w:r w:rsidR="00592934">
      <w:rPr>
        <w:rStyle w:val="a4"/>
      </w:rPr>
      <w:t>4</w:t>
    </w:r>
    <w:r>
      <w:fldChar w:fldCharType="end"/>
    </w:r>
  </w:p>
  <w:p w:rsidR="00592934" w:rsidRDefault="005929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34" w:rsidRDefault="0090421A">
    <w:pPr>
      <w:pStyle w:val="a6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592934">
      <w:rPr>
        <w:rStyle w:val="a4"/>
      </w:rPr>
      <w:instrText xml:space="preserve"> PAGE  </w:instrText>
    </w:r>
    <w:r>
      <w:fldChar w:fldCharType="separate"/>
    </w:r>
    <w:r w:rsidR="00921310">
      <w:rPr>
        <w:rStyle w:val="a4"/>
        <w:noProof/>
      </w:rPr>
      <w:t>1</w:t>
    </w:r>
    <w:r>
      <w:fldChar w:fldCharType="end"/>
    </w:r>
  </w:p>
  <w:p w:rsidR="00592934" w:rsidRDefault="00592934">
    <w:pPr>
      <w:pStyle w:val="a6"/>
      <w:jc w:val="right"/>
    </w:pPr>
  </w:p>
  <w:p w:rsidR="00592934" w:rsidRDefault="005929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61" w:rsidRDefault="00F55261">
      <w:r>
        <w:separator/>
      </w:r>
    </w:p>
  </w:footnote>
  <w:footnote w:type="continuationSeparator" w:id="0">
    <w:p w:rsidR="00F55261" w:rsidRDefault="00F5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3"/>
      <w:numFmt w:val="bullet"/>
      <w:lvlText w:val="—"/>
      <w:lvlJc w:val="left"/>
      <w:pPr>
        <w:ind w:left="1505" w:hanging="360"/>
      </w:pPr>
      <w:rPr>
        <w:rFonts w:ascii="SimSun" w:eastAsia="SimSun" w:hAnsi="SimSun" w:cs="Times New Roman" w:hint="eastAsia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start w:val="3"/>
      <w:numFmt w:val="bullet"/>
      <w:lvlText w:val="—"/>
      <w:lvlJc w:val="left"/>
      <w:pPr>
        <w:ind w:left="1505" w:hanging="360"/>
      </w:pPr>
      <w:rPr>
        <w:rFonts w:ascii="SimSun" w:eastAsia="SimSun" w:hAnsi="SimSun" w:cs="Times New Roman" w:hint="eastAsia"/>
      </w:rPr>
    </w:lvl>
    <w:lvl w:ilvl="2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14A6B58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36C3E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B5E"/>
    <w:rsid w:val="000122D4"/>
    <w:rsid w:val="00015F27"/>
    <w:rsid w:val="00025280"/>
    <w:rsid w:val="000273FD"/>
    <w:rsid w:val="0003593C"/>
    <w:rsid w:val="000378DD"/>
    <w:rsid w:val="00040091"/>
    <w:rsid w:val="00040AC0"/>
    <w:rsid w:val="000419CB"/>
    <w:rsid w:val="00042013"/>
    <w:rsid w:val="00042807"/>
    <w:rsid w:val="00050159"/>
    <w:rsid w:val="00050B8B"/>
    <w:rsid w:val="00062637"/>
    <w:rsid w:val="00067A8F"/>
    <w:rsid w:val="00074218"/>
    <w:rsid w:val="00084220"/>
    <w:rsid w:val="0008446F"/>
    <w:rsid w:val="00086A15"/>
    <w:rsid w:val="000931F9"/>
    <w:rsid w:val="00093C9D"/>
    <w:rsid w:val="000957DF"/>
    <w:rsid w:val="000A150A"/>
    <w:rsid w:val="000A48F0"/>
    <w:rsid w:val="000A4E1E"/>
    <w:rsid w:val="000A4EC6"/>
    <w:rsid w:val="000B417A"/>
    <w:rsid w:val="000B5E57"/>
    <w:rsid w:val="000B6AE9"/>
    <w:rsid w:val="000C1D8C"/>
    <w:rsid w:val="000C28F3"/>
    <w:rsid w:val="000C5BFA"/>
    <w:rsid w:val="000C72EA"/>
    <w:rsid w:val="000D6149"/>
    <w:rsid w:val="000D7321"/>
    <w:rsid w:val="000E173C"/>
    <w:rsid w:val="000E2710"/>
    <w:rsid w:val="000E2ACE"/>
    <w:rsid w:val="000F3016"/>
    <w:rsid w:val="000F3229"/>
    <w:rsid w:val="000F40B4"/>
    <w:rsid w:val="000F4DE1"/>
    <w:rsid w:val="000F5093"/>
    <w:rsid w:val="000F5E0D"/>
    <w:rsid w:val="00103B9F"/>
    <w:rsid w:val="00103FBD"/>
    <w:rsid w:val="001052F0"/>
    <w:rsid w:val="001224D2"/>
    <w:rsid w:val="0012273A"/>
    <w:rsid w:val="00126F36"/>
    <w:rsid w:val="00131106"/>
    <w:rsid w:val="00131771"/>
    <w:rsid w:val="00133A45"/>
    <w:rsid w:val="00135D16"/>
    <w:rsid w:val="0014122B"/>
    <w:rsid w:val="001514B1"/>
    <w:rsid w:val="001553EA"/>
    <w:rsid w:val="001617A5"/>
    <w:rsid w:val="001625A7"/>
    <w:rsid w:val="00162E30"/>
    <w:rsid w:val="00163F00"/>
    <w:rsid w:val="00171FD7"/>
    <w:rsid w:val="00172A27"/>
    <w:rsid w:val="0017522F"/>
    <w:rsid w:val="001764CA"/>
    <w:rsid w:val="001778ED"/>
    <w:rsid w:val="00183F95"/>
    <w:rsid w:val="001909AA"/>
    <w:rsid w:val="00190BD8"/>
    <w:rsid w:val="00193009"/>
    <w:rsid w:val="00193E03"/>
    <w:rsid w:val="00194C05"/>
    <w:rsid w:val="001A2DFB"/>
    <w:rsid w:val="001A4716"/>
    <w:rsid w:val="001B3687"/>
    <w:rsid w:val="001C140D"/>
    <w:rsid w:val="001C4A0D"/>
    <w:rsid w:val="001D1713"/>
    <w:rsid w:val="001D42FF"/>
    <w:rsid w:val="001D5DD7"/>
    <w:rsid w:val="001E5B81"/>
    <w:rsid w:val="001E70FC"/>
    <w:rsid w:val="001F0F88"/>
    <w:rsid w:val="001F1B4D"/>
    <w:rsid w:val="001F2DC2"/>
    <w:rsid w:val="001F6D9E"/>
    <w:rsid w:val="00201532"/>
    <w:rsid w:val="00205049"/>
    <w:rsid w:val="00205C65"/>
    <w:rsid w:val="00206265"/>
    <w:rsid w:val="0021406D"/>
    <w:rsid w:val="002140D2"/>
    <w:rsid w:val="00220351"/>
    <w:rsid w:val="00222797"/>
    <w:rsid w:val="0022662A"/>
    <w:rsid w:val="0022720B"/>
    <w:rsid w:val="00230BB7"/>
    <w:rsid w:val="00233B82"/>
    <w:rsid w:val="00235178"/>
    <w:rsid w:val="002352E7"/>
    <w:rsid w:val="00245E22"/>
    <w:rsid w:val="002470AD"/>
    <w:rsid w:val="00253EEA"/>
    <w:rsid w:val="00261E33"/>
    <w:rsid w:val="002676F9"/>
    <w:rsid w:val="002728CD"/>
    <w:rsid w:val="002742FB"/>
    <w:rsid w:val="002812C4"/>
    <w:rsid w:val="00281A5C"/>
    <w:rsid w:val="00281ED9"/>
    <w:rsid w:val="0029241B"/>
    <w:rsid w:val="0029422D"/>
    <w:rsid w:val="002B1CFF"/>
    <w:rsid w:val="002B4682"/>
    <w:rsid w:val="002B4C9E"/>
    <w:rsid w:val="002B598D"/>
    <w:rsid w:val="002B5CB4"/>
    <w:rsid w:val="002C0362"/>
    <w:rsid w:val="002C0A62"/>
    <w:rsid w:val="002D0D1C"/>
    <w:rsid w:val="002E07FE"/>
    <w:rsid w:val="002E1B89"/>
    <w:rsid w:val="002E3051"/>
    <w:rsid w:val="002E6270"/>
    <w:rsid w:val="002E7BCA"/>
    <w:rsid w:val="002F0EE2"/>
    <w:rsid w:val="002F7A31"/>
    <w:rsid w:val="002F7E09"/>
    <w:rsid w:val="003015C1"/>
    <w:rsid w:val="003030ED"/>
    <w:rsid w:val="00314313"/>
    <w:rsid w:val="003229DF"/>
    <w:rsid w:val="0034270F"/>
    <w:rsid w:val="00345D84"/>
    <w:rsid w:val="003519BF"/>
    <w:rsid w:val="00351B4B"/>
    <w:rsid w:val="00353893"/>
    <w:rsid w:val="00355BAE"/>
    <w:rsid w:val="00362F43"/>
    <w:rsid w:val="00365545"/>
    <w:rsid w:val="00373A67"/>
    <w:rsid w:val="00375DF3"/>
    <w:rsid w:val="003767CB"/>
    <w:rsid w:val="00381FAA"/>
    <w:rsid w:val="00385A48"/>
    <w:rsid w:val="00392A75"/>
    <w:rsid w:val="00394574"/>
    <w:rsid w:val="00397965"/>
    <w:rsid w:val="003A59CE"/>
    <w:rsid w:val="003C0720"/>
    <w:rsid w:val="003C0D9D"/>
    <w:rsid w:val="003C3C7B"/>
    <w:rsid w:val="003E0049"/>
    <w:rsid w:val="003E0165"/>
    <w:rsid w:val="003F4EA9"/>
    <w:rsid w:val="003F5B50"/>
    <w:rsid w:val="003F6F32"/>
    <w:rsid w:val="00402B4A"/>
    <w:rsid w:val="00403757"/>
    <w:rsid w:val="00403794"/>
    <w:rsid w:val="00406E3E"/>
    <w:rsid w:val="004078C6"/>
    <w:rsid w:val="00411F43"/>
    <w:rsid w:val="00424CBD"/>
    <w:rsid w:val="00432E07"/>
    <w:rsid w:val="00433702"/>
    <w:rsid w:val="00441BAF"/>
    <w:rsid w:val="00446669"/>
    <w:rsid w:val="00461398"/>
    <w:rsid w:val="00461919"/>
    <w:rsid w:val="00463A94"/>
    <w:rsid w:val="0047360B"/>
    <w:rsid w:val="004800F1"/>
    <w:rsid w:val="00484258"/>
    <w:rsid w:val="00490BFA"/>
    <w:rsid w:val="00491422"/>
    <w:rsid w:val="004943F6"/>
    <w:rsid w:val="00496842"/>
    <w:rsid w:val="004978AE"/>
    <w:rsid w:val="004A73A2"/>
    <w:rsid w:val="004B04B5"/>
    <w:rsid w:val="004B242E"/>
    <w:rsid w:val="004B6E0C"/>
    <w:rsid w:val="004C4236"/>
    <w:rsid w:val="004C4382"/>
    <w:rsid w:val="004D3226"/>
    <w:rsid w:val="004D3C2B"/>
    <w:rsid w:val="004D55E6"/>
    <w:rsid w:val="004D631A"/>
    <w:rsid w:val="004E0E6F"/>
    <w:rsid w:val="004E530F"/>
    <w:rsid w:val="004E5871"/>
    <w:rsid w:val="00503055"/>
    <w:rsid w:val="00504C63"/>
    <w:rsid w:val="00506601"/>
    <w:rsid w:val="0050772A"/>
    <w:rsid w:val="0050777D"/>
    <w:rsid w:val="0050791E"/>
    <w:rsid w:val="005163AB"/>
    <w:rsid w:val="00517C02"/>
    <w:rsid w:val="00520DF5"/>
    <w:rsid w:val="0053017A"/>
    <w:rsid w:val="005325FC"/>
    <w:rsid w:val="0053460F"/>
    <w:rsid w:val="00536E3D"/>
    <w:rsid w:val="0054335C"/>
    <w:rsid w:val="00543E3D"/>
    <w:rsid w:val="00546B1A"/>
    <w:rsid w:val="00550646"/>
    <w:rsid w:val="0055179C"/>
    <w:rsid w:val="005554C2"/>
    <w:rsid w:val="00573450"/>
    <w:rsid w:val="00574FB2"/>
    <w:rsid w:val="00586E4A"/>
    <w:rsid w:val="005903D5"/>
    <w:rsid w:val="005917D7"/>
    <w:rsid w:val="00592934"/>
    <w:rsid w:val="0059400A"/>
    <w:rsid w:val="005A2227"/>
    <w:rsid w:val="005A5248"/>
    <w:rsid w:val="005B63C5"/>
    <w:rsid w:val="005B6BE7"/>
    <w:rsid w:val="005C4C70"/>
    <w:rsid w:val="005C6085"/>
    <w:rsid w:val="005C7436"/>
    <w:rsid w:val="005C7DA4"/>
    <w:rsid w:val="005F3250"/>
    <w:rsid w:val="005F37C7"/>
    <w:rsid w:val="006030E0"/>
    <w:rsid w:val="0060570A"/>
    <w:rsid w:val="00610D12"/>
    <w:rsid w:val="00616165"/>
    <w:rsid w:val="00624193"/>
    <w:rsid w:val="006341B5"/>
    <w:rsid w:val="0064269A"/>
    <w:rsid w:val="00647E4C"/>
    <w:rsid w:val="00650663"/>
    <w:rsid w:val="0065136E"/>
    <w:rsid w:val="006521A5"/>
    <w:rsid w:val="00653DA7"/>
    <w:rsid w:val="00655F25"/>
    <w:rsid w:val="00661DFD"/>
    <w:rsid w:val="006665AC"/>
    <w:rsid w:val="00670A80"/>
    <w:rsid w:val="0067560B"/>
    <w:rsid w:val="00676B86"/>
    <w:rsid w:val="00676BF1"/>
    <w:rsid w:val="00684BC9"/>
    <w:rsid w:val="0068661F"/>
    <w:rsid w:val="00687919"/>
    <w:rsid w:val="00687F70"/>
    <w:rsid w:val="00691BD7"/>
    <w:rsid w:val="00696A59"/>
    <w:rsid w:val="006A7FF7"/>
    <w:rsid w:val="006B14E7"/>
    <w:rsid w:val="006C191F"/>
    <w:rsid w:val="006C3700"/>
    <w:rsid w:val="006C75F3"/>
    <w:rsid w:val="006D25B8"/>
    <w:rsid w:val="006D5CDF"/>
    <w:rsid w:val="006D698A"/>
    <w:rsid w:val="006E7E9C"/>
    <w:rsid w:val="006F4161"/>
    <w:rsid w:val="006F59E0"/>
    <w:rsid w:val="00704EBC"/>
    <w:rsid w:val="007110C2"/>
    <w:rsid w:val="007113AD"/>
    <w:rsid w:val="00712405"/>
    <w:rsid w:val="00714669"/>
    <w:rsid w:val="00714A02"/>
    <w:rsid w:val="007164C2"/>
    <w:rsid w:val="00721A16"/>
    <w:rsid w:val="00721BB1"/>
    <w:rsid w:val="0072558A"/>
    <w:rsid w:val="00734228"/>
    <w:rsid w:val="00736AA1"/>
    <w:rsid w:val="007372EB"/>
    <w:rsid w:val="00741885"/>
    <w:rsid w:val="007425E7"/>
    <w:rsid w:val="007458A3"/>
    <w:rsid w:val="00745FC4"/>
    <w:rsid w:val="0074666D"/>
    <w:rsid w:val="00747511"/>
    <w:rsid w:val="00750009"/>
    <w:rsid w:val="007543AD"/>
    <w:rsid w:val="0077283B"/>
    <w:rsid w:val="007835E6"/>
    <w:rsid w:val="007A34FE"/>
    <w:rsid w:val="007B176E"/>
    <w:rsid w:val="007B5178"/>
    <w:rsid w:val="007C1695"/>
    <w:rsid w:val="007C1A24"/>
    <w:rsid w:val="007C46B0"/>
    <w:rsid w:val="007C6261"/>
    <w:rsid w:val="007D65A8"/>
    <w:rsid w:val="007E3500"/>
    <w:rsid w:val="007E5D5D"/>
    <w:rsid w:val="007F2226"/>
    <w:rsid w:val="007F257D"/>
    <w:rsid w:val="007F5598"/>
    <w:rsid w:val="007F587B"/>
    <w:rsid w:val="008044CE"/>
    <w:rsid w:val="00807862"/>
    <w:rsid w:val="00811F16"/>
    <w:rsid w:val="0081381D"/>
    <w:rsid w:val="00815514"/>
    <w:rsid w:val="00816900"/>
    <w:rsid w:val="008221EE"/>
    <w:rsid w:val="00824BDA"/>
    <w:rsid w:val="00824D7E"/>
    <w:rsid w:val="00826F87"/>
    <w:rsid w:val="0083434F"/>
    <w:rsid w:val="00846B17"/>
    <w:rsid w:val="00846BA6"/>
    <w:rsid w:val="00857F2A"/>
    <w:rsid w:val="00863A9C"/>
    <w:rsid w:val="008700AD"/>
    <w:rsid w:val="0087228A"/>
    <w:rsid w:val="00877DF6"/>
    <w:rsid w:val="00883AF6"/>
    <w:rsid w:val="00891461"/>
    <w:rsid w:val="00891D07"/>
    <w:rsid w:val="00894AA1"/>
    <w:rsid w:val="008B2A26"/>
    <w:rsid w:val="008B3427"/>
    <w:rsid w:val="008B64FD"/>
    <w:rsid w:val="008B65E7"/>
    <w:rsid w:val="008C036E"/>
    <w:rsid w:val="008C0A83"/>
    <w:rsid w:val="008C2926"/>
    <w:rsid w:val="008C664A"/>
    <w:rsid w:val="008C6D80"/>
    <w:rsid w:val="008D0D89"/>
    <w:rsid w:val="008D6D15"/>
    <w:rsid w:val="008E0286"/>
    <w:rsid w:val="008E071C"/>
    <w:rsid w:val="008E1231"/>
    <w:rsid w:val="008E38BC"/>
    <w:rsid w:val="008E6FDD"/>
    <w:rsid w:val="008F2938"/>
    <w:rsid w:val="008F4B6F"/>
    <w:rsid w:val="00901ADF"/>
    <w:rsid w:val="0090421A"/>
    <w:rsid w:val="009069D1"/>
    <w:rsid w:val="009079EA"/>
    <w:rsid w:val="009138FB"/>
    <w:rsid w:val="009150CB"/>
    <w:rsid w:val="00916D12"/>
    <w:rsid w:val="00921310"/>
    <w:rsid w:val="00922AD9"/>
    <w:rsid w:val="009279A9"/>
    <w:rsid w:val="00927D81"/>
    <w:rsid w:val="009308E3"/>
    <w:rsid w:val="00931BFA"/>
    <w:rsid w:val="00936C6D"/>
    <w:rsid w:val="00941C94"/>
    <w:rsid w:val="0095255C"/>
    <w:rsid w:val="00953628"/>
    <w:rsid w:val="00963D42"/>
    <w:rsid w:val="0096690E"/>
    <w:rsid w:val="00971072"/>
    <w:rsid w:val="0097230B"/>
    <w:rsid w:val="00972716"/>
    <w:rsid w:val="00976C95"/>
    <w:rsid w:val="00976E2C"/>
    <w:rsid w:val="009775E6"/>
    <w:rsid w:val="0098022D"/>
    <w:rsid w:val="00982B9E"/>
    <w:rsid w:val="009911E1"/>
    <w:rsid w:val="009A1777"/>
    <w:rsid w:val="009A18AE"/>
    <w:rsid w:val="009A264C"/>
    <w:rsid w:val="009A6774"/>
    <w:rsid w:val="009B7220"/>
    <w:rsid w:val="009B7265"/>
    <w:rsid w:val="009C41E0"/>
    <w:rsid w:val="009C4660"/>
    <w:rsid w:val="009D1377"/>
    <w:rsid w:val="009D2453"/>
    <w:rsid w:val="009D7D68"/>
    <w:rsid w:val="009D7FF8"/>
    <w:rsid w:val="009E151D"/>
    <w:rsid w:val="009E57FD"/>
    <w:rsid w:val="009E5F21"/>
    <w:rsid w:val="009F2CD4"/>
    <w:rsid w:val="009F6833"/>
    <w:rsid w:val="00A023AF"/>
    <w:rsid w:val="00A07DFC"/>
    <w:rsid w:val="00A11C71"/>
    <w:rsid w:val="00A126D1"/>
    <w:rsid w:val="00A133AE"/>
    <w:rsid w:val="00A1403F"/>
    <w:rsid w:val="00A17545"/>
    <w:rsid w:val="00A2060B"/>
    <w:rsid w:val="00A259A7"/>
    <w:rsid w:val="00A32137"/>
    <w:rsid w:val="00A321E4"/>
    <w:rsid w:val="00A33A1E"/>
    <w:rsid w:val="00A407A1"/>
    <w:rsid w:val="00A435AA"/>
    <w:rsid w:val="00A451F3"/>
    <w:rsid w:val="00A468A7"/>
    <w:rsid w:val="00A5187A"/>
    <w:rsid w:val="00A5293D"/>
    <w:rsid w:val="00A54509"/>
    <w:rsid w:val="00A5462B"/>
    <w:rsid w:val="00A55ACB"/>
    <w:rsid w:val="00A612AC"/>
    <w:rsid w:val="00A723A8"/>
    <w:rsid w:val="00A8121F"/>
    <w:rsid w:val="00A81345"/>
    <w:rsid w:val="00A833BB"/>
    <w:rsid w:val="00A83472"/>
    <w:rsid w:val="00A83C8F"/>
    <w:rsid w:val="00A875BF"/>
    <w:rsid w:val="00A91E95"/>
    <w:rsid w:val="00A9210B"/>
    <w:rsid w:val="00A92411"/>
    <w:rsid w:val="00A939C6"/>
    <w:rsid w:val="00A93E37"/>
    <w:rsid w:val="00A949C7"/>
    <w:rsid w:val="00A95767"/>
    <w:rsid w:val="00A971C4"/>
    <w:rsid w:val="00AA641A"/>
    <w:rsid w:val="00AB3F04"/>
    <w:rsid w:val="00AB5815"/>
    <w:rsid w:val="00AB653D"/>
    <w:rsid w:val="00AC155F"/>
    <w:rsid w:val="00AC5DC8"/>
    <w:rsid w:val="00AD0473"/>
    <w:rsid w:val="00AD0F46"/>
    <w:rsid w:val="00AD263E"/>
    <w:rsid w:val="00AD5C9F"/>
    <w:rsid w:val="00AD7C22"/>
    <w:rsid w:val="00AE0805"/>
    <w:rsid w:val="00AE2F65"/>
    <w:rsid w:val="00AE5232"/>
    <w:rsid w:val="00AE5798"/>
    <w:rsid w:val="00AE6261"/>
    <w:rsid w:val="00AF2346"/>
    <w:rsid w:val="00AF6DA0"/>
    <w:rsid w:val="00B038CA"/>
    <w:rsid w:val="00B14D39"/>
    <w:rsid w:val="00B15F85"/>
    <w:rsid w:val="00B16A81"/>
    <w:rsid w:val="00B23F57"/>
    <w:rsid w:val="00B24E2A"/>
    <w:rsid w:val="00B26410"/>
    <w:rsid w:val="00B30E04"/>
    <w:rsid w:val="00B322F1"/>
    <w:rsid w:val="00B32958"/>
    <w:rsid w:val="00B35E7E"/>
    <w:rsid w:val="00B45EBB"/>
    <w:rsid w:val="00B57562"/>
    <w:rsid w:val="00B65A2E"/>
    <w:rsid w:val="00B702C2"/>
    <w:rsid w:val="00B713B3"/>
    <w:rsid w:val="00B7284C"/>
    <w:rsid w:val="00B81498"/>
    <w:rsid w:val="00B820CB"/>
    <w:rsid w:val="00B82511"/>
    <w:rsid w:val="00B92959"/>
    <w:rsid w:val="00B950EA"/>
    <w:rsid w:val="00B96C04"/>
    <w:rsid w:val="00BA470A"/>
    <w:rsid w:val="00BA712E"/>
    <w:rsid w:val="00BA7D8D"/>
    <w:rsid w:val="00BB7946"/>
    <w:rsid w:val="00BC0064"/>
    <w:rsid w:val="00BC133D"/>
    <w:rsid w:val="00BC2448"/>
    <w:rsid w:val="00BC2881"/>
    <w:rsid w:val="00BC2CE7"/>
    <w:rsid w:val="00BC3AB9"/>
    <w:rsid w:val="00BD09C7"/>
    <w:rsid w:val="00BD1F4D"/>
    <w:rsid w:val="00BD4B01"/>
    <w:rsid w:val="00BD5766"/>
    <w:rsid w:val="00BD624E"/>
    <w:rsid w:val="00BE40B5"/>
    <w:rsid w:val="00BF2303"/>
    <w:rsid w:val="00BF2AC1"/>
    <w:rsid w:val="00BF3D93"/>
    <w:rsid w:val="00C012A8"/>
    <w:rsid w:val="00C03340"/>
    <w:rsid w:val="00C0364A"/>
    <w:rsid w:val="00C10D11"/>
    <w:rsid w:val="00C17A4C"/>
    <w:rsid w:val="00C30166"/>
    <w:rsid w:val="00C31BEF"/>
    <w:rsid w:val="00C323BC"/>
    <w:rsid w:val="00C35F8F"/>
    <w:rsid w:val="00C36C56"/>
    <w:rsid w:val="00C401E8"/>
    <w:rsid w:val="00C423C1"/>
    <w:rsid w:val="00C501F8"/>
    <w:rsid w:val="00C53320"/>
    <w:rsid w:val="00C56D87"/>
    <w:rsid w:val="00C667C3"/>
    <w:rsid w:val="00C66E43"/>
    <w:rsid w:val="00C679EE"/>
    <w:rsid w:val="00C734DE"/>
    <w:rsid w:val="00C744A8"/>
    <w:rsid w:val="00C76B02"/>
    <w:rsid w:val="00C7700F"/>
    <w:rsid w:val="00C7791B"/>
    <w:rsid w:val="00C85DCF"/>
    <w:rsid w:val="00C90319"/>
    <w:rsid w:val="00C93EC9"/>
    <w:rsid w:val="00C95654"/>
    <w:rsid w:val="00CB0A8A"/>
    <w:rsid w:val="00CB1F8E"/>
    <w:rsid w:val="00CB3D5B"/>
    <w:rsid w:val="00CB3F66"/>
    <w:rsid w:val="00CB42A2"/>
    <w:rsid w:val="00CC551A"/>
    <w:rsid w:val="00CD14BE"/>
    <w:rsid w:val="00CE0479"/>
    <w:rsid w:val="00CE22DE"/>
    <w:rsid w:val="00CE3D3E"/>
    <w:rsid w:val="00CF3896"/>
    <w:rsid w:val="00D02C47"/>
    <w:rsid w:val="00D054D0"/>
    <w:rsid w:val="00D07DE2"/>
    <w:rsid w:val="00D2266B"/>
    <w:rsid w:val="00D23376"/>
    <w:rsid w:val="00D246DB"/>
    <w:rsid w:val="00D26BE0"/>
    <w:rsid w:val="00D2726B"/>
    <w:rsid w:val="00D3564F"/>
    <w:rsid w:val="00D35AA4"/>
    <w:rsid w:val="00D36BD8"/>
    <w:rsid w:val="00D372E1"/>
    <w:rsid w:val="00D40D03"/>
    <w:rsid w:val="00D4172B"/>
    <w:rsid w:val="00D43CA0"/>
    <w:rsid w:val="00D44AD2"/>
    <w:rsid w:val="00D54465"/>
    <w:rsid w:val="00D5461A"/>
    <w:rsid w:val="00D61258"/>
    <w:rsid w:val="00D631E6"/>
    <w:rsid w:val="00D63433"/>
    <w:rsid w:val="00D63475"/>
    <w:rsid w:val="00D643F7"/>
    <w:rsid w:val="00D66D74"/>
    <w:rsid w:val="00D73E28"/>
    <w:rsid w:val="00D761A7"/>
    <w:rsid w:val="00D839B5"/>
    <w:rsid w:val="00D85ADE"/>
    <w:rsid w:val="00D902B1"/>
    <w:rsid w:val="00D91ABD"/>
    <w:rsid w:val="00D950F3"/>
    <w:rsid w:val="00D96EE5"/>
    <w:rsid w:val="00DA0F14"/>
    <w:rsid w:val="00DA66E6"/>
    <w:rsid w:val="00DB09BE"/>
    <w:rsid w:val="00DB175C"/>
    <w:rsid w:val="00DD2D8D"/>
    <w:rsid w:val="00DE37D1"/>
    <w:rsid w:val="00DE74A7"/>
    <w:rsid w:val="00DF00CF"/>
    <w:rsid w:val="00DF3918"/>
    <w:rsid w:val="00DF52AC"/>
    <w:rsid w:val="00E008FE"/>
    <w:rsid w:val="00E01820"/>
    <w:rsid w:val="00E040A6"/>
    <w:rsid w:val="00E07199"/>
    <w:rsid w:val="00E07794"/>
    <w:rsid w:val="00E144B8"/>
    <w:rsid w:val="00E14E80"/>
    <w:rsid w:val="00E2167C"/>
    <w:rsid w:val="00E26B83"/>
    <w:rsid w:val="00E31A58"/>
    <w:rsid w:val="00E339E0"/>
    <w:rsid w:val="00E33AF8"/>
    <w:rsid w:val="00E3524A"/>
    <w:rsid w:val="00E35A6E"/>
    <w:rsid w:val="00E37D2A"/>
    <w:rsid w:val="00E404EC"/>
    <w:rsid w:val="00E45AC5"/>
    <w:rsid w:val="00E46EDA"/>
    <w:rsid w:val="00E50435"/>
    <w:rsid w:val="00E51355"/>
    <w:rsid w:val="00E550F5"/>
    <w:rsid w:val="00E61BF9"/>
    <w:rsid w:val="00E661C2"/>
    <w:rsid w:val="00E74C4E"/>
    <w:rsid w:val="00E80074"/>
    <w:rsid w:val="00E879DA"/>
    <w:rsid w:val="00E958EE"/>
    <w:rsid w:val="00EA1A52"/>
    <w:rsid w:val="00EA7497"/>
    <w:rsid w:val="00EB2F75"/>
    <w:rsid w:val="00EC0AAC"/>
    <w:rsid w:val="00EC1AA1"/>
    <w:rsid w:val="00ED028A"/>
    <w:rsid w:val="00ED32CE"/>
    <w:rsid w:val="00ED7FBF"/>
    <w:rsid w:val="00EE612D"/>
    <w:rsid w:val="00EF0F2E"/>
    <w:rsid w:val="00F0027B"/>
    <w:rsid w:val="00F048DF"/>
    <w:rsid w:val="00F04C16"/>
    <w:rsid w:val="00F04EB6"/>
    <w:rsid w:val="00F04F4A"/>
    <w:rsid w:val="00F05276"/>
    <w:rsid w:val="00F07557"/>
    <w:rsid w:val="00F13259"/>
    <w:rsid w:val="00F13F53"/>
    <w:rsid w:val="00F21EE7"/>
    <w:rsid w:val="00F234AC"/>
    <w:rsid w:val="00F250D9"/>
    <w:rsid w:val="00F307A6"/>
    <w:rsid w:val="00F37B80"/>
    <w:rsid w:val="00F44D80"/>
    <w:rsid w:val="00F46DD7"/>
    <w:rsid w:val="00F50F25"/>
    <w:rsid w:val="00F52232"/>
    <w:rsid w:val="00F52758"/>
    <w:rsid w:val="00F527BB"/>
    <w:rsid w:val="00F55261"/>
    <w:rsid w:val="00F552E5"/>
    <w:rsid w:val="00F56032"/>
    <w:rsid w:val="00F608FB"/>
    <w:rsid w:val="00F60CD2"/>
    <w:rsid w:val="00F713DF"/>
    <w:rsid w:val="00F72714"/>
    <w:rsid w:val="00F74F06"/>
    <w:rsid w:val="00F814AB"/>
    <w:rsid w:val="00F85725"/>
    <w:rsid w:val="00F940FF"/>
    <w:rsid w:val="00F9560C"/>
    <w:rsid w:val="00F95F83"/>
    <w:rsid w:val="00FA2197"/>
    <w:rsid w:val="00FA3BFC"/>
    <w:rsid w:val="00FA712F"/>
    <w:rsid w:val="00FC6B8F"/>
    <w:rsid w:val="00FD03F2"/>
    <w:rsid w:val="00FD2B33"/>
    <w:rsid w:val="00FD3A81"/>
    <w:rsid w:val="00FD3F59"/>
    <w:rsid w:val="00FF024A"/>
    <w:rsid w:val="00F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F2B396C4-D436-446B-BA25-557C773C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0C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9560C"/>
    <w:rPr>
      <w:sz w:val="21"/>
      <w:szCs w:val="21"/>
    </w:rPr>
  </w:style>
  <w:style w:type="character" w:styleId="a4">
    <w:name w:val="page number"/>
    <w:basedOn w:val="a0"/>
    <w:rsid w:val="00F9560C"/>
  </w:style>
  <w:style w:type="character" w:customStyle="1" w:styleId="a5">
    <w:name w:val="頁尾 字元"/>
    <w:link w:val="a6"/>
    <w:rsid w:val="00F9560C"/>
    <w:rPr>
      <w:kern w:val="2"/>
      <w:sz w:val="18"/>
    </w:rPr>
  </w:style>
  <w:style w:type="paragraph" w:styleId="a7">
    <w:name w:val="annotation subject"/>
    <w:basedOn w:val="a8"/>
    <w:next w:val="a8"/>
    <w:rsid w:val="00F9560C"/>
    <w:rPr>
      <w:b/>
      <w:bCs/>
    </w:rPr>
  </w:style>
  <w:style w:type="paragraph" w:styleId="a6">
    <w:name w:val="footer"/>
    <w:basedOn w:val="a"/>
    <w:link w:val="a5"/>
    <w:rsid w:val="00F9560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Balloon Text"/>
    <w:basedOn w:val="a"/>
    <w:rsid w:val="00F9560C"/>
    <w:rPr>
      <w:sz w:val="18"/>
      <w:szCs w:val="18"/>
    </w:rPr>
  </w:style>
  <w:style w:type="paragraph" w:styleId="aa">
    <w:name w:val="header"/>
    <w:basedOn w:val="a"/>
    <w:rsid w:val="00F9560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text"/>
    <w:basedOn w:val="a"/>
    <w:rsid w:val="00F9560C"/>
    <w:pPr>
      <w:jc w:val="left"/>
    </w:pPr>
  </w:style>
  <w:style w:type="paragraph" w:customStyle="1" w:styleId="1">
    <w:name w:val="清單段落1"/>
    <w:basedOn w:val="a"/>
    <w:rsid w:val="00F9560C"/>
    <w:pPr>
      <w:ind w:left="720"/>
    </w:pPr>
  </w:style>
  <w:style w:type="paragraph" w:styleId="ab">
    <w:name w:val="List Paragraph"/>
    <w:basedOn w:val="a"/>
    <w:uiPriority w:val="34"/>
    <w:qFormat/>
    <w:rsid w:val="00574FB2"/>
    <w:pPr>
      <w:ind w:leftChars="200" w:left="480"/>
    </w:pPr>
  </w:style>
  <w:style w:type="paragraph" w:styleId="ac">
    <w:name w:val="Subtitle"/>
    <w:basedOn w:val="a"/>
    <w:next w:val="a"/>
    <w:link w:val="ad"/>
    <w:qFormat/>
    <w:rsid w:val="00F50F25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d">
    <w:name w:val="副標題 字元"/>
    <w:basedOn w:val="a0"/>
    <w:link w:val="ac"/>
    <w:rsid w:val="00F50F25"/>
    <w:rPr>
      <w:rFonts w:ascii="Cambria" w:eastAsia="新細明體" w:hAnsi="Cambria" w:cs="Times New Roman"/>
      <w:i/>
      <w:iCs/>
      <w:kern w:val="2"/>
      <w:sz w:val="24"/>
      <w:szCs w:val="24"/>
      <w:lang w:eastAsia="zh-CN"/>
    </w:rPr>
  </w:style>
  <w:style w:type="character" w:styleId="ae">
    <w:name w:val="Emphasis"/>
    <w:basedOn w:val="a0"/>
    <w:qFormat/>
    <w:rsid w:val="00F50F25"/>
    <w:rPr>
      <w:i/>
      <w:iCs/>
    </w:rPr>
  </w:style>
  <w:style w:type="character" w:styleId="af">
    <w:name w:val="Strong"/>
    <w:basedOn w:val="a0"/>
    <w:qFormat/>
    <w:rsid w:val="00F50F25"/>
    <w:rPr>
      <w:b/>
      <w:bCs/>
    </w:rPr>
  </w:style>
  <w:style w:type="character" w:customStyle="1" w:styleId="dash51676587char1">
    <w:name w:val="dash5167_6587__char1"/>
    <w:basedOn w:val="a0"/>
    <w:rsid w:val="00CB3D5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51676587">
    <w:name w:val="dash5167_6587"/>
    <w:basedOn w:val="a"/>
    <w:rsid w:val="00CD14BE"/>
    <w:pPr>
      <w:widowControl/>
    </w:pPr>
    <w:rPr>
      <w:rFonts w:eastAsia="新細明體"/>
      <w:kern w:val="0"/>
      <w:sz w:val="20"/>
      <w:lang w:eastAsia="zh-TW"/>
    </w:rPr>
  </w:style>
  <w:style w:type="paragraph" w:customStyle="1" w:styleId="2">
    <w:name w:val="清單段落2"/>
    <w:basedOn w:val="a"/>
    <w:rsid w:val="00A55A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003">
      <w:bodyDiv w:val="1"/>
      <w:marLeft w:val="1500"/>
      <w:marRight w:val="108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553">
      <w:bodyDiv w:val="1"/>
      <w:marLeft w:val="1500"/>
      <w:marRight w:val="1080"/>
      <w:marTop w:val="14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509</Words>
  <Characters>2905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Company>United Nations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Anniversary</dc:title>
  <dc:creator>DESA-OUSG</dc:creator>
  <cp:lastModifiedBy>user</cp:lastModifiedBy>
  <cp:revision>4</cp:revision>
  <cp:lastPrinted>1900-12-31T16:00:00Z</cp:lastPrinted>
  <dcterms:created xsi:type="dcterms:W3CDTF">2014-11-10T10:23:00Z</dcterms:created>
  <dcterms:modified xsi:type="dcterms:W3CDTF">2014-11-10T10:54:00Z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